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1B64" w14:textId="77777777" w:rsidR="00A808CC" w:rsidRPr="00A6111C" w:rsidRDefault="00A808CC" w:rsidP="00A808CC">
      <w:pPr>
        <w:spacing w:after="0" w:line="288" w:lineRule="auto"/>
        <w:ind w:right="566"/>
        <w:jc w:val="center"/>
        <w:rPr>
          <w:rFonts w:cs="Times New Roman"/>
          <w:b/>
          <w:sz w:val="24"/>
          <w:szCs w:val="24"/>
        </w:rPr>
      </w:pPr>
    </w:p>
    <w:p w14:paraId="5CD98A91" w14:textId="77777777" w:rsidR="00A808CC" w:rsidRPr="00A6111C" w:rsidRDefault="00A808CC" w:rsidP="00A808CC">
      <w:pPr>
        <w:spacing w:after="0" w:line="288" w:lineRule="auto"/>
        <w:ind w:right="566"/>
        <w:jc w:val="center"/>
        <w:rPr>
          <w:rFonts w:cs="Times New Roman"/>
          <w:sz w:val="24"/>
          <w:szCs w:val="24"/>
        </w:rPr>
      </w:pPr>
    </w:p>
    <w:p w14:paraId="20A5C235" w14:textId="77777777" w:rsidR="00A808CC" w:rsidRPr="00A6111C" w:rsidRDefault="00A808CC" w:rsidP="00A808CC">
      <w:pPr>
        <w:spacing w:after="0" w:line="288" w:lineRule="auto"/>
        <w:ind w:right="566"/>
        <w:jc w:val="center"/>
        <w:rPr>
          <w:rFonts w:cs="Times New Roman"/>
          <w:sz w:val="24"/>
          <w:szCs w:val="24"/>
        </w:rPr>
      </w:pPr>
      <w:r w:rsidRPr="00A6111C">
        <w:rPr>
          <w:rFonts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068E4BCE" wp14:editId="1BFEDD14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387985" cy="476250"/>
            <wp:effectExtent l="0" t="0" r="0" b="0"/>
            <wp:wrapTight wrapText="bothSides">
              <wp:wrapPolygon edited="0">
                <wp:start x="0" y="0"/>
                <wp:lineTo x="0" y="20736"/>
                <wp:lineTo x="20151" y="20736"/>
                <wp:lineTo x="2015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82374" w14:textId="77777777" w:rsidR="00A808CC" w:rsidRPr="00A6111C" w:rsidRDefault="00A808CC" w:rsidP="00A808CC">
      <w:pPr>
        <w:spacing w:after="0" w:line="288" w:lineRule="auto"/>
        <w:ind w:right="566"/>
        <w:rPr>
          <w:rFonts w:cs="Times New Roman"/>
          <w:sz w:val="24"/>
          <w:szCs w:val="24"/>
        </w:rPr>
      </w:pPr>
    </w:p>
    <w:p w14:paraId="4314D575" w14:textId="77777777" w:rsidR="00A808CC" w:rsidRPr="00A6111C" w:rsidRDefault="00A808CC" w:rsidP="00A808CC">
      <w:pPr>
        <w:spacing w:after="0" w:line="288" w:lineRule="auto"/>
        <w:ind w:right="566"/>
        <w:jc w:val="center"/>
        <w:rPr>
          <w:rFonts w:cs="Times New Roman"/>
          <w:sz w:val="24"/>
          <w:szCs w:val="24"/>
        </w:rPr>
      </w:pPr>
    </w:p>
    <w:p w14:paraId="114DCBD0" w14:textId="77777777" w:rsidR="00A808CC" w:rsidRPr="00A6111C" w:rsidRDefault="00A808CC" w:rsidP="00A808CC">
      <w:pPr>
        <w:spacing w:after="0" w:line="288" w:lineRule="auto"/>
        <w:ind w:right="566"/>
        <w:jc w:val="center"/>
        <w:rPr>
          <w:rFonts w:cstheme="minorHAnsi"/>
          <w:b/>
          <w:color w:val="404040" w:themeColor="text1" w:themeTint="BF"/>
          <w:sz w:val="24"/>
          <w:szCs w:val="24"/>
        </w:rPr>
      </w:pPr>
      <w:r w:rsidRPr="00A6111C">
        <w:rPr>
          <w:rFonts w:cstheme="minorHAnsi"/>
          <w:color w:val="404040" w:themeColor="text1" w:themeTint="BF"/>
          <w:sz w:val="24"/>
          <w:szCs w:val="24"/>
        </w:rPr>
        <w:t>MINISTARSTVO PROSTORNOGA UREĐENJA, GRADITELJSTVA  I DRŽAVNE IMOVINE</w:t>
      </w:r>
    </w:p>
    <w:p w14:paraId="7090AA06" w14:textId="77777777" w:rsidR="00A808CC" w:rsidRPr="00A6111C" w:rsidRDefault="00A808CC" w:rsidP="00A808CC">
      <w:pPr>
        <w:spacing w:after="0" w:line="288" w:lineRule="auto"/>
        <w:ind w:right="566"/>
        <w:jc w:val="center"/>
        <w:rPr>
          <w:rFonts w:cstheme="minorHAnsi"/>
          <w:b/>
          <w:color w:val="404040" w:themeColor="text1" w:themeTint="BF"/>
          <w:sz w:val="24"/>
          <w:szCs w:val="24"/>
        </w:rPr>
      </w:pPr>
    </w:p>
    <w:p w14:paraId="78D7A29C" w14:textId="77777777" w:rsidR="00A808CC" w:rsidRPr="00A6111C" w:rsidRDefault="00A808CC" w:rsidP="00A808CC">
      <w:pPr>
        <w:spacing w:after="0" w:line="288" w:lineRule="auto"/>
        <w:ind w:right="566"/>
        <w:jc w:val="center"/>
        <w:rPr>
          <w:rFonts w:cstheme="minorHAnsi"/>
          <w:b/>
          <w:color w:val="404040" w:themeColor="text1" w:themeTint="BF"/>
          <w:sz w:val="24"/>
          <w:szCs w:val="24"/>
        </w:rPr>
      </w:pPr>
    </w:p>
    <w:p w14:paraId="03863363" w14:textId="77777777" w:rsidR="00A808CC" w:rsidRPr="00A6111C" w:rsidRDefault="00A808CC" w:rsidP="00A808CC">
      <w:pPr>
        <w:spacing w:after="0" w:line="288" w:lineRule="auto"/>
        <w:ind w:right="566"/>
        <w:jc w:val="center"/>
        <w:rPr>
          <w:rFonts w:cstheme="minorHAnsi"/>
          <w:b/>
          <w:color w:val="404040" w:themeColor="text1" w:themeTint="BF"/>
          <w:sz w:val="24"/>
          <w:szCs w:val="24"/>
        </w:rPr>
      </w:pPr>
    </w:p>
    <w:p w14:paraId="4E6E020E" w14:textId="77777777" w:rsidR="00A808CC" w:rsidRPr="00A6111C" w:rsidRDefault="00A808CC" w:rsidP="00A808CC">
      <w:pPr>
        <w:spacing w:after="0" w:line="288" w:lineRule="auto"/>
        <w:ind w:right="566"/>
        <w:jc w:val="center"/>
        <w:rPr>
          <w:rFonts w:cstheme="minorHAnsi"/>
          <w:b/>
          <w:color w:val="404040" w:themeColor="text1" w:themeTint="BF"/>
          <w:sz w:val="24"/>
          <w:szCs w:val="24"/>
        </w:rPr>
      </w:pPr>
    </w:p>
    <w:p w14:paraId="6D51A98D" w14:textId="77777777" w:rsidR="00A808CC" w:rsidRPr="00A6111C" w:rsidRDefault="00A808CC" w:rsidP="00A808CC">
      <w:pPr>
        <w:spacing w:after="0" w:line="288" w:lineRule="auto"/>
        <w:ind w:right="566"/>
        <w:jc w:val="center"/>
        <w:rPr>
          <w:rFonts w:cstheme="minorHAnsi"/>
          <w:b/>
          <w:color w:val="404040" w:themeColor="text1" w:themeTint="BF"/>
          <w:sz w:val="24"/>
          <w:szCs w:val="24"/>
        </w:rPr>
      </w:pPr>
    </w:p>
    <w:p w14:paraId="70E27796" w14:textId="77777777" w:rsidR="00A808CC" w:rsidRPr="00A6111C" w:rsidRDefault="00A808CC" w:rsidP="00A808CC">
      <w:pPr>
        <w:spacing w:after="0" w:line="288" w:lineRule="auto"/>
        <w:ind w:right="566"/>
        <w:rPr>
          <w:rFonts w:cstheme="minorHAnsi"/>
          <w:b/>
          <w:color w:val="404040" w:themeColor="text1" w:themeTint="BF"/>
          <w:sz w:val="24"/>
          <w:szCs w:val="24"/>
        </w:rPr>
      </w:pPr>
    </w:p>
    <w:p w14:paraId="3B12AEF4" w14:textId="77777777" w:rsidR="00A808CC" w:rsidRPr="00A6111C" w:rsidRDefault="00A808CC" w:rsidP="00A808CC">
      <w:pPr>
        <w:spacing w:after="0" w:line="288" w:lineRule="auto"/>
        <w:ind w:right="566"/>
        <w:rPr>
          <w:rFonts w:cstheme="minorHAnsi"/>
          <w:b/>
          <w:color w:val="404040" w:themeColor="text1" w:themeTint="BF"/>
          <w:sz w:val="24"/>
          <w:szCs w:val="24"/>
        </w:rPr>
      </w:pPr>
    </w:p>
    <w:p w14:paraId="56CE8B0D" w14:textId="77777777" w:rsidR="00A808CC" w:rsidRPr="00A6111C" w:rsidRDefault="00A808CC" w:rsidP="00A808CC">
      <w:pPr>
        <w:spacing w:after="0" w:line="288" w:lineRule="auto"/>
        <w:ind w:right="566"/>
        <w:rPr>
          <w:rFonts w:cstheme="minorHAnsi"/>
          <w:b/>
          <w:color w:val="404040" w:themeColor="text1" w:themeTint="BF"/>
          <w:sz w:val="24"/>
          <w:szCs w:val="24"/>
        </w:rPr>
      </w:pPr>
    </w:p>
    <w:p w14:paraId="4CB94558" w14:textId="77777777" w:rsidR="00A808CC" w:rsidRPr="00A6111C" w:rsidRDefault="00A808CC" w:rsidP="00A808CC">
      <w:pPr>
        <w:shd w:val="clear" w:color="auto" w:fill="FFFFFF"/>
        <w:spacing w:line="235" w:lineRule="atLeast"/>
        <w:jc w:val="center"/>
        <w:rPr>
          <w:rFonts w:cstheme="minorHAnsi"/>
          <w:bCs/>
          <w:i/>
          <w:iCs/>
          <w:color w:val="404040" w:themeColor="text1" w:themeTint="BF"/>
        </w:rPr>
      </w:pPr>
      <w:r w:rsidRPr="00A6111C">
        <w:rPr>
          <w:rFonts w:cstheme="minorHAnsi"/>
          <w:bCs/>
          <w:color w:val="404040" w:themeColor="text1" w:themeTint="BF"/>
        </w:rPr>
        <w:t xml:space="preserve">Projekt: </w:t>
      </w:r>
      <w:r w:rsidRPr="00A6111C">
        <w:rPr>
          <w:rFonts w:cstheme="minorHAnsi"/>
          <w:bCs/>
          <w:i/>
          <w:iCs/>
          <w:color w:val="404040" w:themeColor="text1" w:themeTint="BF"/>
        </w:rPr>
        <w:t>„Unaprjeđenje korporativnog upravljanja u pravnim osobama u vlasništvu države revidiranjem i usklađivanjem zakonske regulative s OECD-ovim smjernicama za korporativno upravljanje“</w:t>
      </w:r>
    </w:p>
    <w:p w14:paraId="7AA60FB7" w14:textId="77777777" w:rsidR="00A808CC" w:rsidRPr="00A6111C" w:rsidRDefault="00A808CC" w:rsidP="00A808CC">
      <w:pPr>
        <w:spacing w:after="0" w:line="288" w:lineRule="auto"/>
        <w:ind w:right="566"/>
        <w:rPr>
          <w:rFonts w:cstheme="minorHAnsi"/>
          <w:b/>
          <w:color w:val="404040" w:themeColor="text1" w:themeTint="BF"/>
          <w:sz w:val="24"/>
          <w:szCs w:val="24"/>
        </w:rPr>
      </w:pPr>
    </w:p>
    <w:p w14:paraId="6213DFFC" w14:textId="38EF726B" w:rsidR="008F1938" w:rsidRPr="008F1938" w:rsidRDefault="008F1938" w:rsidP="00A808CC">
      <w:pPr>
        <w:pStyle w:val="Odlomakpopisa"/>
        <w:numPr>
          <w:ilvl w:val="0"/>
          <w:numId w:val="2"/>
        </w:numPr>
        <w:spacing w:after="0" w:line="288" w:lineRule="auto"/>
        <w:ind w:right="566"/>
        <w:jc w:val="center"/>
        <w:rPr>
          <w:rFonts w:cstheme="minorHAnsi"/>
          <w:b/>
          <w:bCs/>
          <w:color w:val="404040" w:themeColor="text1" w:themeTint="BF"/>
          <w:sz w:val="24"/>
          <w:szCs w:val="24"/>
        </w:rPr>
      </w:pPr>
      <w:r w:rsidRPr="008F1938">
        <w:rPr>
          <w:b/>
          <w:bCs/>
          <w:lang w:val="en-US"/>
        </w:rPr>
        <w:t>AKCIJSKI PLAN ZA IMPLEMENTACIJU PREPORUKA OECD-</w:t>
      </w:r>
      <w:r w:rsidR="00974A82">
        <w:rPr>
          <w:b/>
          <w:bCs/>
          <w:lang w:val="en-US"/>
        </w:rPr>
        <w:t>a</w:t>
      </w:r>
      <w:r w:rsidRPr="008F1938">
        <w:rPr>
          <w:b/>
          <w:bCs/>
          <w:lang w:val="en-US"/>
        </w:rPr>
        <w:t xml:space="preserve"> </w:t>
      </w:r>
    </w:p>
    <w:p w14:paraId="4FB5DC03" w14:textId="0E475851" w:rsidR="00A808CC" w:rsidRPr="008F1938" w:rsidRDefault="008F1938" w:rsidP="008F1938">
      <w:pPr>
        <w:pStyle w:val="Odlomakpopisa"/>
        <w:spacing w:after="0" w:line="288" w:lineRule="auto"/>
        <w:ind w:right="566"/>
        <w:jc w:val="center"/>
        <w:rPr>
          <w:rFonts w:cstheme="minorHAnsi"/>
          <w:b/>
          <w:bCs/>
          <w:color w:val="404040" w:themeColor="text1" w:themeTint="BF"/>
          <w:sz w:val="24"/>
          <w:szCs w:val="24"/>
        </w:rPr>
      </w:pPr>
      <w:r w:rsidRPr="008F1938">
        <w:rPr>
          <w:b/>
          <w:bCs/>
          <w:lang w:val="en-US"/>
        </w:rPr>
        <w:t>ZA UNAPRJEĐENJE KORPORATIVNOG UPRAVLJANJA U PRAVNIM OSOBAMA U VLASNIŠTVU REPUBLIKE HRVATSKE</w:t>
      </w:r>
      <w:r w:rsidRPr="008F1938">
        <w:rPr>
          <w:rFonts w:cstheme="minorHAnsi"/>
          <w:b/>
          <w:bCs/>
          <w:color w:val="404040" w:themeColor="text1" w:themeTint="BF"/>
          <w:sz w:val="24"/>
          <w:szCs w:val="24"/>
        </w:rPr>
        <w:t xml:space="preserve"> -</w:t>
      </w:r>
    </w:p>
    <w:p w14:paraId="0EC634BC" w14:textId="77777777" w:rsidR="00A808CC" w:rsidRPr="00A6111C" w:rsidRDefault="00A808CC" w:rsidP="00A808CC">
      <w:pPr>
        <w:spacing w:after="0" w:line="288" w:lineRule="auto"/>
        <w:ind w:right="566"/>
        <w:jc w:val="center"/>
        <w:rPr>
          <w:rFonts w:cstheme="minorHAnsi"/>
          <w:b/>
          <w:color w:val="404040" w:themeColor="text1" w:themeTint="BF"/>
          <w:sz w:val="24"/>
          <w:szCs w:val="24"/>
        </w:rPr>
      </w:pPr>
    </w:p>
    <w:p w14:paraId="64E1DB60" w14:textId="77777777" w:rsidR="00A808CC" w:rsidRPr="00A6111C" w:rsidRDefault="00A808CC" w:rsidP="00A808CC">
      <w:pPr>
        <w:spacing w:after="0" w:line="288" w:lineRule="auto"/>
        <w:ind w:right="566"/>
        <w:rPr>
          <w:rFonts w:cstheme="minorHAnsi"/>
          <w:color w:val="404040" w:themeColor="text1" w:themeTint="BF"/>
          <w:sz w:val="24"/>
          <w:szCs w:val="24"/>
        </w:rPr>
      </w:pPr>
    </w:p>
    <w:p w14:paraId="47A9CBDD" w14:textId="77777777" w:rsidR="00A808CC" w:rsidRPr="00A6111C" w:rsidRDefault="00A808CC" w:rsidP="00A808CC">
      <w:pPr>
        <w:spacing w:after="0" w:line="288" w:lineRule="auto"/>
        <w:ind w:right="566"/>
        <w:rPr>
          <w:rFonts w:cstheme="minorHAnsi"/>
          <w:color w:val="404040" w:themeColor="text1" w:themeTint="BF"/>
          <w:sz w:val="24"/>
          <w:szCs w:val="24"/>
        </w:rPr>
      </w:pPr>
    </w:p>
    <w:p w14:paraId="57FEBCE4" w14:textId="77777777" w:rsidR="00A808CC" w:rsidRPr="00A6111C" w:rsidRDefault="00A808CC" w:rsidP="00A808CC">
      <w:pPr>
        <w:spacing w:after="0" w:line="288" w:lineRule="auto"/>
        <w:ind w:right="566"/>
        <w:rPr>
          <w:rFonts w:cstheme="minorHAnsi"/>
          <w:color w:val="404040" w:themeColor="text1" w:themeTint="BF"/>
          <w:sz w:val="24"/>
          <w:szCs w:val="24"/>
        </w:rPr>
      </w:pPr>
    </w:p>
    <w:p w14:paraId="62A16E56" w14:textId="77777777" w:rsidR="00A808CC" w:rsidRPr="00A6111C" w:rsidRDefault="00A808CC" w:rsidP="00A808CC">
      <w:pPr>
        <w:spacing w:after="0" w:line="288" w:lineRule="auto"/>
        <w:ind w:right="566"/>
        <w:rPr>
          <w:rFonts w:cstheme="minorHAnsi"/>
          <w:sz w:val="24"/>
          <w:szCs w:val="24"/>
        </w:rPr>
      </w:pPr>
    </w:p>
    <w:p w14:paraId="6612CE94" w14:textId="77777777" w:rsidR="00A808CC" w:rsidRPr="00A6111C" w:rsidRDefault="00A808CC" w:rsidP="00A808CC">
      <w:pPr>
        <w:spacing w:after="0" w:line="288" w:lineRule="auto"/>
        <w:ind w:right="566"/>
        <w:rPr>
          <w:rFonts w:cstheme="minorHAnsi"/>
          <w:sz w:val="24"/>
          <w:szCs w:val="24"/>
        </w:rPr>
      </w:pPr>
    </w:p>
    <w:p w14:paraId="7A8BEED6" w14:textId="77777777" w:rsidR="00A808CC" w:rsidRPr="00A6111C" w:rsidRDefault="00A808CC" w:rsidP="00A808CC">
      <w:pPr>
        <w:spacing w:after="0" w:line="288" w:lineRule="auto"/>
        <w:ind w:right="566"/>
        <w:rPr>
          <w:rFonts w:cstheme="minorHAnsi"/>
          <w:sz w:val="24"/>
          <w:szCs w:val="24"/>
        </w:rPr>
      </w:pPr>
    </w:p>
    <w:p w14:paraId="6556773C" w14:textId="77777777" w:rsidR="00A808CC" w:rsidRPr="00A6111C" w:rsidRDefault="00A808CC" w:rsidP="00A808CC">
      <w:pPr>
        <w:spacing w:after="0" w:line="288" w:lineRule="auto"/>
        <w:ind w:right="566"/>
        <w:rPr>
          <w:rFonts w:cstheme="minorHAnsi"/>
          <w:sz w:val="24"/>
          <w:szCs w:val="24"/>
        </w:rPr>
      </w:pPr>
    </w:p>
    <w:p w14:paraId="41291D6D" w14:textId="77777777" w:rsidR="00A808CC" w:rsidRPr="00A6111C" w:rsidRDefault="00A808CC" w:rsidP="00A808CC">
      <w:pPr>
        <w:spacing w:after="0" w:line="288" w:lineRule="auto"/>
        <w:ind w:right="566"/>
        <w:rPr>
          <w:rFonts w:cstheme="minorHAnsi"/>
          <w:sz w:val="24"/>
          <w:szCs w:val="24"/>
        </w:rPr>
      </w:pPr>
    </w:p>
    <w:p w14:paraId="615AB643" w14:textId="77777777" w:rsidR="00A808CC" w:rsidRPr="00A6111C" w:rsidRDefault="00A808CC" w:rsidP="00A808CC">
      <w:pPr>
        <w:spacing w:after="0" w:line="288" w:lineRule="auto"/>
        <w:ind w:right="566"/>
        <w:rPr>
          <w:rFonts w:cstheme="minorHAnsi"/>
          <w:sz w:val="24"/>
          <w:szCs w:val="24"/>
        </w:rPr>
      </w:pPr>
    </w:p>
    <w:p w14:paraId="700F161B" w14:textId="77777777" w:rsidR="00A808CC" w:rsidRPr="00A6111C" w:rsidRDefault="00A808CC" w:rsidP="00A808CC">
      <w:pPr>
        <w:spacing w:after="0" w:line="288" w:lineRule="auto"/>
        <w:ind w:right="566"/>
        <w:rPr>
          <w:rFonts w:cstheme="minorHAnsi"/>
          <w:sz w:val="24"/>
          <w:szCs w:val="24"/>
        </w:rPr>
      </w:pPr>
    </w:p>
    <w:p w14:paraId="0DD00DFC" w14:textId="1BFDD5CA" w:rsidR="00A808CC" w:rsidRPr="00A6111C" w:rsidRDefault="00363DBC" w:rsidP="00A808CC">
      <w:pPr>
        <w:spacing w:after="0" w:line="288" w:lineRule="auto"/>
        <w:ind w:right="566"/>
        <w:jc w:val="center"/>
        <w:rPr>
          <w:rFonts w:cstheme="minorHAnsi"/>
          <w:color w:val="404040" w:themeColor="text1" w:themeTint="BF"/>
          <w:sz w:val="24"/>
          <w:szCs w:val="24"/>
        </w:rPr>
      </w:pPr>
      <w:r>
        <w:rPr>
          <w:rFonts w:cstheme="minorHAnsi"/>
          <w:color w:val="404040" w:themeColor="text1" w:themeTint="BF"/>
          <w:sz w:val="24"/>
          <w:szCs w:val="24"/>
        </w:rPr>
        <w:t>rujan</w:t>
      </w:r>
      <w:r w:rsidR="00A808CC" w:rsidRPr="00A6111C">
        <w:rPr>
          <w:rFonts w:cstheme="minorHAnsi"/>
          <w:color w:val="404040" w:themeColor="text1" w:themeTint="BF"/>
          <w:sz w:val="24"/>
          <w:szCs w:val="24"/>
        </w:rPr>
        <w:t xml:space="preserve"> 2021.</w:t>
      </w:r>
    </w:p>
    <w:p w14:paraId="01B53FE9" w14:textId="77777777" w:rsidR="00A808CC" w:rsidRPr="00A6111C" w:rsidRDefault="00A808CC" w:rsidP="00A808CC">
      <w:pPr>
        <w:spacing w:after="0" w:line="288" w:lineRule="auto"/>
        <w:ind w:right="566"/>
        <w:jc w:val="center"/>
        <w:rPr>
          <w:rFonts w:cstheme="minorHAnsi"/>
          <w:color w:val="404040" w:themeColor="text1" w:themeTint="BF"/>
          <w:sz w:val="24"/>
          <w:szCs w:val="24"/>
        </w:rPr>
      </w:pPr>
    </w:p>
    <w:p w14:paraId="21618C70" w14:textId="77777777" w:rsidR="00A808CC" w:rsidRPr="00A6111C" w:rsidRDefault="00A808CC" w:rsidP="00A808CC">
      <w:pPr>
        <w:spacing w:after="0" w:line="288" w:lineRule="auto"/>
        <w:ind w:right="566"/>
        <w:jc w:val="center"/>
        <w:rPr>
          <w:rFonts w:cstheme="minorHAnsi"/>
          <w:color w:val="404040" w:themeColor="text1" w:themeTint="BF"/>
          <w:sz w:val="24"/>
          <w:szCs w:val="24"/>
        </w:rPr>
      </w:pPr>
    </w:p>
    <w:p w14:paraId="36556069" w14:textId="77777777" w:rsidR="00A808CC" w:rsidRPr="00A6111C" w:rsidRDefault="00A808CC" w:rsidP="00A808CC">
      <w:pPr>
        <w:spacing w:after="0" w:line="288" w:lineRule="auto"/>
        <w:ind w:right="566"/>
        <w:jc w:val="center"/>
        <w:rPr>
          <w:rFonts w:cstheme="minorHAnsi"/>
          <w:sz w:val="24"/>
          <w:szCs w:val="24"/>
        </w:rPr>
      </w:pPr>
      <w:r w:rsidRPr="00A6111C">
        <w:rPr>
          <w:noProof/>
          <w:lang w:eastAsia="hr-HR"/>
        </w:rPr>
        <w:drawing>
          <wp:inline distT="0" distB="0" distL="0" distR="0" wp14:anchorId="1B74076F" wp14:editId="4D4DE585">
            <wp:extent cx="1314450" cy="781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05DB6" w14:textId="77777777" w:rsidR="00A808CC" w:rsidRPr="00A6111C" w:rsidRDefault="00A808CC" w:rsidP="00A808CC">
      <w:pPr>
        <w:spacing w:after="0" w:line="288" w:lineRule="auto"/>
        <w:ind w:right="566"/>
        <w:rPr>
          <w:rFonts w:cstheme="minorHAnsi"/>
          <w:b/>
          <w:sz w:val="24"/>
          <w:szCs w:val="24"/>
        </w:rPr>
        <w:sectPr w:rsidR="00A808CC" w:rsidRPr="00A6111C" w:rsidSect="00193A41">
          <w:footerReference w:type="default" r:id="rId10"/>
          <w:pgSz w:w="11906" w:h="16838"/>
          <w:pgMar w:top="1418" w:right="1247" w:bottom="1247" w:left="1701" w:header="709" w:footer="709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id w:val="-4202607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F7C01E" w14:textId="77777777" w:rsidR="00A808CC" w:rsidRPr="00A6111C" w:rsidRDefault="00A808CC" w:rsidP="00A808CC">
          <w:pPr>
            <w:pStyle w:val="TOCNaslov"/>
            <w:tabs>
              <w:tab w:val="left" w:pos="1365"/>
            </w:tabs>
            <w:spacing w:after="240" w:line="288" w:lineRule="auto"/>
            <w:ind w:right="566"/>
            <w:rPr>
              <w:rFonts w:asciiTheme="minorHAnsi" w:hAnsiTheme="minorHAnsi" w:cs="Times New Roman"/>
              <w:color w:val="C00000"/>
              <w:sz w:val="24"/>
              <w:szCs w:val="24"/>
            </w:rPr>
          </w:pPr>
          <w:r w:rsidRPr="00106F46">
            <w:rPr>
              <w:rFonts w:asciiTheme="minorHAnsi" w:hAnsiTheme="minorHAnsi" w:cs="Times New Roman"/>
              <w:color w:val="auto"/>
              <w:sz w:val="24"/>
              <w:szCs w:val="24"/>
            </w:rPr>
            <w:t>Sadržaj</w:t>
          </w:r>
          <w:r w:rsidRPr="00A6111C">
            <w:rPr>
              <w:rFonts w:asciiTheme="minorHAnsi" w:hAnsiTheme="minorHAnsi" w:cs="Times New Roman"/>
              <w:color w:val="C00000"/>
              <w:sz w:val="24"/>
              <w:szCs w:val="24"/>
            </w:rPr>
            <w:tab/>
          </w:r>
        </w:p>
        <w:p w14:paraId="6BC57926" w14:textId="71FEE239" w:rsidR="00FB72AA" w:rsidRDefault="00A808CC">
          <w:pPr>
            <w:pStyle w:val="Sadraj1"/>
            <w:tabs>
              <w:tab w:val="left" w:pos="851"/>
              <w:tab w:val="right" w:leader="dot" w:pos="9396"/>
            </w:tabs>
            <w:rPr>
              <w:rFonts w:eastAsiaTheme="minorEastAsia"/>
              <w:noProof/>
              <w:lang w:eastAsia="hr-HR"/>
            </w:rPr>
          </w:pPr>
          <w:r w:rsidRPr="00A6111C">
            <w:rPr>
              <w:rFonts w:cs="Times New Roman"/>
              <w:sz w:val="24"/>
              <w:szCs w:val="24"/>
            </w:rPr>
            <w:fldChar w:fldCharType="begin"/>
          </w:r>
          <w:r w:rsidRPr="00A6111C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A6111C">
            <w:rPr>
              <w:rFonts w:cs="Times New Roman"/>
              <w:sz w:val="24"/>
              <w:szCs w:val="24"/>
            </w:rPr>
            <w:fldChar w:fldCharType="separate"/>
          </w:r>
          <w:hyperlink w:anchor="_Toc78527726" w:history="1">
            <w:r w:rsidR="00FB72AA" w:rsidRPr="00EC31AE">
              <w:rPr>
                <w:rStyle w:val="Hiperveza"/>
                <w:rFonts w:cs="Times New Roman"/>
                <w:noProof/>
              </w:rPr>
              <w:t>1</w:t>
            </w:r>
            <w:r w:rsidR="00FB72AA">
              <w:rPr>
                <w:rFonts w:eastAsiaTheme="minorEastAsia"/>
                <w:noProof/>
                <w:lang w:eastAsia="hr-HR"/>
              </w:rPr>
              <w:tab/>
            </w:r>
            <w:r w:rsidR="00FB72AA" w:rsidRPr="00EC31AE">
              <w:rPr>
                <w:rStyle w:val="Hiperveza"/>
                <w:rFonts w:cs="Times New Roman"/>
                <w:noProof/>
              </w:rPr>
              <w:t>UVOD</w:t>
            </w:r>
            <w:r w:rsidR="00FB72AA">
              <w:rPr>
                <w:noProof/>
                <w:webHidden/>
              </w:rPr>
              <w:tab/>
            </w:r>
            <w:r w:rsidR="00FB72AA">
              <w:rPr>
                <w:noProof/>
                <w:webHidden/>
              </w:rPr>
              <w:fldChar w:fldCharType="begin"/>
            </w:r>
            <w:r w:rsidR="00FB72AA">
              <w:rPr>
                <w:noProof/>
                <w:webHidden/>
              </w:rPr>
              <w:instrText xml:space="preserve"> PAGEREF _Toc78527726 \h </w:instrText>
            </w:r>
            <w:r w:rsidR="00FB72AA">
              <w:rPr>
                <w:noProof/>
                <w:webHidden/>
              </w:rPr>
            </w:r>
            <w:r w:rsidR="00FB72AA">
              <w:rPr>
                <w:noProof/>
                <w:webHidden/>
              </w:rPr>
              <w:fldChar w:fldCharType="separate"/>
            </w:r>
            <w:r w:rsidR="00193A41">
              <w:rPr>
                <w:noProof/>
                <w:webHidden/>
              </w:rPr>
              <w:t>1</w:t>
            </w:r>
            <w:r w:rsidR="00FB72AA">
              <w:rPr>
                <w:noProof/>
                <w:webHidden/>
              </w:rPr>
              <w:fldChar w:fldCharType="end"/>
            </w:r>
          </w:hyperlink>
        </w:p>
        <w:p w14:paraId="11C58957" w14:textId="58A3D317" w:rsidR="00FB72AA" w:rsidRDefault="006326B0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78527727" w:history="1">
            <w:r w:rsidR="00FB72AA" w:rsidRPr="00EC31AE">
              <w:rPr>
                <w:rStyle w:val="Hiperveza"/>
                <w:rFonts w:cs="Times New Roman"/>
                <w:noProof/>
              </w:rPr>
              <w:t>1.1</w:t>
            </w:r>
            <w:r w:rsidR="00FB72AA">
              <w:rPr>
                <w:rFonts w:eastAsiaTheme="minorEastAsia"/>
                <w:noProof/>
                <w:lang w:eastAsia="hr-HR"/>
              </w:rPr>
              <w:tab/>
            </w:r>
            <w:r w:rsidR="00FB72AA" w:rsidRPr="00EC31AE">
              <w:rPr>
                <w:rStyle w:val="Hiperveza"/>
                <w:rFonts w:cs="Times New Roman"/>
                <w:noProof/>
              </w:rPr>
              <w:t>Informacije o projektu</w:t>
            </w:r>
            <w:r w:rsidR="00FB72AA">
              <w:rPr>
                <w:noProof/>
                <w:webHidden/>
              </w:rPr>
              <w:tab/>
            </w:r>
            <w:r w:rsidR="00FB72AA">
              <w:rPr>
                <w:noProof/>
                <w:webHidden/>
              </w:rPr>
              <w:fldChar w:fldCharType="begin"/>
            </w:r>
            <w:r w:rsidR="00FB72AA">
              <w:rPr>
                <w:noProof/>
                <w:webHidden/>
              </w:rPr>
              <w:instrText xml:space="preserve"> PAGEREF _Toc78527727 \h </w:instrText>
            </w:r>
            <w:r w:rsidR="00FB72AA">
              <w:rPr>
                <w:noProof/>
                <w:webHidden/>
              </w:rPr>
            </w:r>
            <w:r w:rsidR="00FB72AA">
              <w:rPr>
                <w:noProof/>
                <w:webHidden/>
              </w:rPr>
              <w:fldChar w:fldCharType="separate"/>
            </w:r>
            <w:r w:rsidR="00193A41">
              <w:rPr>
                <w:noProof/>
                <w:webHidden/>
              </w:rPr>
              <w:t>1</w:t>
            </w:r>
            <w:r w:rsidR="00FB72AA">
              <w:rPr>
                <w:noProof/>
                <w:webHidden/>
              </w:rPr>
              <w:fldChar w:fldCharType="end"/>
            </w:r>
          </w:hyperlink>
        </w:p>
        <w:p w14:paraId="62327CAF" w14:textId="4709D424" w:rsidR="00FB72AA" w:rsidRDefault="006326B0">
          <w:pPr>
            <w:pStyle w:val="Sadraj1"/>
            <w:tabs>
              <w:tab w:val="left" w:pos="851"/>
              <w:tab w:val="right" w:leader="dot" w:pos="9396"/>
            </w:tabs>
            <w:rPr>
              <w:rFonts w:eastAsiaTheme="minorEastAsia"/>
              <w:noProof/>
              <w:lang w:eastAsia="hr-HR"/>
            </w:rPr>
          </w:pPr>
          <w:hyperlink w:anchor="_Toc78527728" w:history="1">
            <w:r w:rsidR="00FB72AA" w:rsidRPr="00EC31AE">
              <w:rPr>
                <w:rStyle w:val="Hiperveza"/>
                <w:rFonts w:cs="Times New Roman"/>
                <w:noProof/>
              </w:rPr>
              <w:t>2</w:t>
            </w:r>
            <w:r w:rsidR="00FB72AA">
              <w:rPr>
                <w:rFonts w:eastAsiaTheme="minorEastAsia"/>
                <w:noProof/>
                <w:lang w:eastAsia="hr-HR"/>
              </w:rPr>
              <w:tab/>
            </w:r>
            <w:r w:rsidR="00FB72AA" w:rsidRPr="00EC31AE">
              <w:rPr>
                <w:rStyle w:val="Hiperveza"/>
                <w:rFonts w:cs="Times New Roman"/>
                <w:noProof/>
              </w:rPr>
              <w:t>POVEZNICA SA KLJUČNIM DOKUMENTIMA</w:t>
            </w:r>
            <w:r w:rsidR="00FB72AA">
              <w:rPr>
                <w:noProof/>
                <w:webHidden/>
              </w:rPr>
              <w:tab/>
            </w:r>
            <w:r w:rsidR="00FB72AA">
              <w:rPr>
                <w:noProof/>
                <w:webHidden/>
              </w:rPr>
              <w:fldChar w:fldCharType="begin"/>
            </w:r>
            <w:r w:rsidR="00FB72AA">
              <w:rPr>
                <w:noProof/>
                <w:webHidden/>
              </w:rPr>
              <w:instrText xml:space="preserve"> PAGEREF _Toc78527728 \h </w:instrText>
            </w:r>
            <w:r w:rsidR="00FB72AA">
              <w:rPr>
                <w:noProof/>
                <w:webHidden/>
              </w:rPr>
            </w:r>
            <w:r w:rsidR="00FB72AA">
              <w:rPr>
                <w:noProof/>
                <w:webHidden/>
              </w:rPr>
              <w:fldChar w:fldCharType="separate"/>
            </w:r>
            <w:r w:rsidR="00193A41">
              <w:rPr>
                <w:noProof/>
                <w:webHidden/>
              </w:rPr>
              <w:t>2</w:t>
            </w:r>
            <w:r w:rsidR="00FB72AA">
              <w:rPr>
                <w:noProof/>
                <w:webHidden/>
              </w:rPr>
              <w:fldChar w:fldCharType="end"/>
            </w:r>
          </w:hyperlink>
        </w:p>
        <w:p w14:paraId="45E63A9D" w14:textId="0E850055" w:rsidR="00FB72AA" w:rsidRDefault="006326B0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78527729" w:history="1">
            <w:r w:rsidR="00FB72AA" w:rsidRPr="00EC31AE">
              <w:rPr>
                <w:rStyle w:val="Hiperveza"/>
                <w:rFonts w:cs="Times New Roman"/>
                <w:noProof/>
              </w:rPr>
              <w:t>2.1</w:t>
            </w:r>
            <w:r w:rsidR="00FB72AA">
              <w:rPr>
                <w:rFonts w:eastAsiaTheme="minorEastAsia"/>
                <w:noProof/>
                <w:lang w:eastAsia="hr-HR"/>
              </w:rPr>
              <w:tab/>
            </w:r>
            <w:r w:rsidR="00FB72AA" w:rsidRPr="00EC31AE">
              <w:rPr>
                <w:rStyle w:val="Hiperveza"/>
                <w:rFonts w:cs="Times New Roman"/>
                <w:noProof/>
              </w:rPr>
              <w:t>Akcijski plan za sudjelovanje Republike Hrvatske u Exchange Rate mehanizmu II (ERM II) Post Entry Commitment</w:t>
            </w:r>
            <w:r w:rsidR="00FB72AA">
              <w:rPr>
                <w:noProof/>
                <w:webHidden/>
              </w:rPr>
              <w:tab/>
            </w:r>
            <w:r w:rsidR="00FB72AA">
              <w:rPr>
                <w:noProof/>
                <w:webHidden/>
              </w:rPr>
              <w:fldChar w:fldCharType="begin"/>
            </w:r>
            <w:r w:rsidR="00FB72AA">
              <w:rPr>
                <w:noProof/>
                <w:webHidden/>
              </w:rPr>
              <w:instrText xml:space="preserve"> PAGEREF _Toc78527729 \h </w:instrText>
            </w:r>
            <w:r w:rsidR="00FB72AA">
              <w:rPr>
                <w:noProof/>
                <w:webHidden/>
              </w:rPr>
            </w:r>
            <w:r w:rsidR="00FB72AA">
              <w:rPr>
                <w:noProof/>
                <w:webHidden/>
              </w:rPr>
              <w:fldChar w:fldCharType="separate"/>
            </w:r>
            <w:r w:rsidR="00193A41">
              <w:rPr>
                <w:noProof/>
                <w:webHidden/>
              </w:rPr>
              <w:t>2</w:t>
            </w:r>
            <w:r w:rsidR="00FB72AA">
              <w:rPr>
                <w:noProof/>
                <w:webHidden/>
              </w:rPr>
              <w:fldChar w:fldCharType="end"/>
            </w:r>
          </w:hyperlink>
        </w:p>
        <w:p w14:paraId="2C63683C" w14:textId="62E9400D" w:rsidR="00FB72AA" w:rsidRDefault="006326B0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78527730" w:history="1">
            <w:r w:rsidR="00FB72AA" w:rsidRPr="00EC31AE">
              <w:rPr>
                <w:rStyle w:val="Hiperveza"/>
                <w:rFonts w:cs="Times New Roman"/>
                <w:noProof/>
              </w:rPr>
              <w:t>2.2</w:t>
            </w:r>
            <w:r w:rsidR="00FB72AA">
              <w:rPr>
                <w:rFonts w:eastAsiaTheme="minorEastAsia"/>
                <w:noProof/>
                <w:lang w:eastAsia="hr-HR"/>
              </w:rPr>
              <w:tab/>
            </w:r>
            <w:r w:rsidR="00FB72AA" w:rsidRPr="00EC31AE">
              <w:rPr>
                <w:rStyle w:val="Hiperveza"/>
                <w:rFonts w:cs="Times New Roman"/>
                <w:noProof/>
              </w:rPr>
              <w:t>Nacionalni plan oporavka i otpornosti 2021. – 2026.</w:t>
            </w:r>
            <w:r w:rsidR="00FB72AA">
              <w:rPr>
                <w:noProof/>
                <w:webHidden/>
              </w:rPr>
              <w:tab/>
            </w:r>
            <w:r w:rsidR="00FB72AA">
              <w:rPr>
                <w:noProof/>
                <w:webHidden/>
              </w:rPr>
              <w:fldChar w:fldCharType="begin"/>
            </w:r>
            <w:r w:rsidR="00FB72AA">
              <w:rPr>
                <w:noProof/>
                <w:webHidden/>
              </w:rPr>
              <w:instrText xml:space="preserve"> PAGEREF _Toc78527730 \h </w:instrText>
            </w:r>
            <w:r w:rsidR="00FB72AA">
              <w:rPr>
                <w:noProof/>
                <w:webHidden/>
              </w:rPr>
            </w:r>
            <w:r w:rsidR="00FB72AA">
              <w:rPr>
                <w:noProof/>
                <w:webHidden/>
              </w:rPr>
              <w:fldChar w:fldCharType="separate"/>
            </w:r>
            <w:r w:rsidR="00193A41">
              <w:rPr>
                <w:noProof/>
                <w:webHidden/>
              </w:rPr>
              <w:t>3</w:t>
            </w:r>
            <w:r w:rsidR="00FB72AA">
              <w:rPr>
                <w:noProof/>
                <w:webHidden/>
              </w:rPr>
              <w:fldChar w:fldCharType="end"/>
            </w:r>
          </w:hyperlink>
        </w:p>
        <w:p w14:paraId="7CA29F68" w14:textId="78818C7D" w:rsidR="00FB72AA" w:rsidRDefault="006326B0">
          <w:pPr>
            <w:pStyle w:val="Sadraj1"/>
            <w:tabs>
              <w:tab w:val="left" w:pos="851"/>
              <w:tab w:val="right" w:leader="dot" w:pos="9396"/>
            </w:tabs>
            <w:rPr>
              <w:rFonts w:eastAsiaTheme="minorEastAsia"/>
              <w:noProof/>
              <w:lang w:eastAsia="hr-HR"/>
            </w:rPr>
          </w:pPr>
          <w:hyperlink w:anchor="_Toc78527731" w:history="1">
            <w:r w:rsidR="00FB72AA" w:rsidRPr="00EC31AE">
              <w:rPr>
                <w:rStyle w:val="Hiperveza"/>
                <w:rFonts w:cs="Times New Roman"/>
                <w:noProof/>
              </w:rPr>
              <w:t>3</w:t>
            </w:r>
            <w:r w:rsidR="00FB72AA">
              <w:rPr>
                <w:rFonts w:eastAsiaTheme="minorEastAsia"/>
                <w:noProof/>
                <w:lang w:eastAsia="hr-HR"/>
              </w:rPr>
              <w:tab/>
            </w:r>
            <w:r w:rsidR="00FB72AA" w:rsidRPr="00EC31AE">
              <w:rPr>
                <w:rStyle w:val="Hiperveza"/>
                <w:rFonts w:cs="Times New Roman"/>
                <w:noProof/>
              </w:rPr>
              <w:t>ZAKLJUČCI I PREPORUKE OECD-a</w:t>
            </w:r>
            <w:r w:rsidR="00FB72AA">
              <w:rPr>
                <w:noProof/>
                <w:webHidden/>
              </w:rPr>
              <w:tab/>
            </w:r>
            <w:r w:rsidR="00FB72AA">
              <w:rPr>
                <w:noProof/>
                <w:webHidden/>
              </w:rPr>
              <w:fldChar w:fldCharType="begin"/>
            </w:r>
            <w:r w:rsidR="00FB72AA">
              <w:rPr>
                <w:noProof/>
                <w:webHidden/>
              </w:rPr>
              <w:instrText xml:space="preserve"> PAGEREF _Toc78527731 \h </w:instrText>
            </w:r>
            <w:r w:rsidR="00FB72AA">
              <w:rPr>
                <w:noProof/>
                <w:webHidden/>
              </w:rPr>
            </w:r>
            <w:r w:rsidR="00FB72AA">
              <w:rPr>
                <w:noProof/>
                <w:webHidden/>
              </w:rPr>
              <w:fldChar w:fldCharType="separate"/>
            </w:r>
            <w:r w:rsidR="00193A41">
              <w:rPr>
                <w:noProof/>
                <w:webHidden/>
              </w:rPr>
              <w:t>4</w:t>
            </w:r>
            <w:r w:rsidR="00FB72AA">
              <w:rPr>
                <w:noProof/>
                <w:webHidden/>
              </w:rPr>
              <w:fldChar w:fldCharType="end"/>
            </w:r>
          </w:hyperlink>
        </w:p>
        <w:p w14:paraId="05CA6247" w14:textId="4B36CFB4" w:rsidR="00FB72AA" w:rsidRDefault="006326B0">
          <w:pPr>
            <w:pStyle w:val="Sadraj1"/>
            <w:tabs>
              <w:tab w:val="left" w:pos="851"/>
              <w:tab w:val="right" w:leader="dot" w:pos="9396"/>
            </w:tabs>
            <w:rPr>
              <w:rFonts w:eastAsiaTheme="minorEastAsia"/>
              <w:noProof/>
              <w:lang w:eastAsia="hr-HR"/>
            </w:rPr>
          </w:pPr>
          <w:hyperlink w:anchor="_Toc78527732" w:history="1">
            <w:r w:rsidR="00FB72AA" w:rsidRPr="00EC31AE">
              <w:rPr>
                <w:rStyle w:val="Hiperveza"/>
                <w:rFonts w:cs="Times New Roman"/>
                <w:noProof/>
              </w:rPr>
              <w:t>4</w:t>
            </w:r>
            <w:r w:rsidR="00FB72AA">
              <w:rPr>
                <w:rFonts w:eastAsiaTheme="minorEastAsia"/>
                <w:noProof/>
                <w:lang w:eastAsia="hr-HR"/>
              </w:rPr>
              <w:tab/>
            </w:r>
            <w:r w:rsidR="00FB72AA" w:rsidRPr="00EC31AE">
              <w:rPr>
                <w:rStyle w:val="Hiperveza"/>
                <w:rFonts w:cs="Times New Roman"/>
                <w:noProof/>
              </w:rPr>
              <w:t>AKTIVNOSTI</w:t>
            </w:r>
            <w:r w:rsidR="00FB72AA">
              <w:rPr>
                <w:noProof/>
                <w:webHidden/>
              </w:rPr>
              <w:tab/>
            </w:r>
            <w:r w:rsidR="00FB72AA">
              <w:rPr>
                <w:noProof/>
                <w:webHidden/>
              </w:rPr>
              <w:fldChar w:fldCharType="begin"/>
            </w:r>
            <w:r w:rsidR="00FB72AA">
              <w:rPr>
                <w:noProof/>
                <w:webHidden/>
              </w:rPr>
              <w:instrText xml:space="preserve"> PAGEREF _Toc78527732 \h </w:instrText>
            </w:r>
            <w:r w:rsidR="00FB72AA">
              <w:rPr>
                <w:noProof/>
                <w:webHidden/>
              </w:rPr>
            </w:r>
            <w:r w:rsidR="00FB72AA">
              <w:rPr>
                <w:noProof/>
                <w:webHidden/>
              </w:rPr>
              <w:fldChar w:fldCharType="separate"/>
            </w:r>
            <w:r w:rsidR="00193A41">
              <w:rPr>
                <w:noProof/>
                <w:webHidden/>
              </w:rPr>
              <w:t>6</w:t>
            </w:r>
            <w:r w:rsidR="00FB72AA">
              <w:rPr>
                <w:noProof/>
                <w:webHidden/>
              </w:rPr>
              <w:fldChar w:fldCharType="end"/>
            </w:r>
          </w:hyperlink>
        </w:p>
        <w:p w14:paraId="1E85C180" w14:textId="4028FD42" w:rsidR="00A808CC" w:rsidRPr="00A6111C" w:rsidRDefault="00A808CC" w:rsidP="00A808CC">
          <w:pPr>
            <w:spacing w:line="288" w:lineRule="auto"/>
            <w:ind w:right="566"/>
            <w:rPr>
              <w:rFonts w:cs="Times New Roman"/>
              <w:sz w:val="24"/>
              <w:szCs w:val="24"/>
            </w:rPr>
          </w:pPr>
          <w:r w:rsidRPr="00A6111C">
            <w:rPr>
              <w:rFonts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342B8773" w14:textId="77777777" w:rsidR="00193A41" w:rsidRDefault="00A808CC" w:rsidP="00A808CC">
      <w:pPr>
        <w:spacing w:line="288" w:lineRule="auto"/>
        <w:ind w:right="566"/>
        <w:rPr>
          <w:rFonts w:cs="Times New Roman"/>
          <w:b/>
          <w:sz w:val="24"/>
          <w:szCs w:val="24"/>
        </w:rPr>
        <w:sectPr w:rsidR="00193A41" w:rsidSect="00193A41"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6111C">
        <w:rPr>
          <w:rFonts w:cs="Times New Roman"/>
          <w:b/>
          <w:sz w:val="24"/>
          <w:szCs w:val="24"/>
        </w:rPr>
        <w:br w:type="page"/>
      </w:r>
    </w:p>
    <w:tbl>
      <w:tblPr>
        <w:tblStyle w:val="Reetkatablic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0"/>
        <w:gridCol w:w="236"/>
      </w:tblGrid>
      <w:tr w:rsidR="00A808CC" w:rsidRPr="00A6111C" w14:paraId="170DC6BF" w14:textId="77777777" w:rsidTr="006E4904">
        <w:tc>
          <w:tcPr>
            <w:tcW w:w="9370" w:type="dxa"/>
            <w:tcBorders>
              <w:right w:val="single" w:sz="8" w:space="0" w:color="C00000"/>
            </w:tcBorders>
          </w:tcPr>
          <w:p w14:paraId="69A28C7A" w14:textId="77777777" w:rsidR="00A808CC" w:rsidRPr="00A6111C" w:rsidRDefault="00A808CC" w:rsidP="006E4904">
            <w:pPr>
              <w:pStyle w:val="Naslov1"/>
              <w:spacing w:line="288" w:lineRule="auto"/>
              <w:outlineLvl w:val="0"/>
              <w:rPr>
                <w:rFonts w:asciiTheme="minorHAnsi" w:hAnsiTheme="minorHAnsi" w:cs="Times New Roman"/>
              </w:rPr>
            </w:pPr>
            <w:bookmarkStart w:id="0" w:name="_Toc78527726"/>
            <w:r w:rsidRPr="00A6111C">
              <w:rPr>
                <w:rFonts w:asciiTheme="minorHAnsi" w:hAnsiTheme="minorHAnsi" w:cs="Times New Roman"/>
              </w:rPr>
              <w:lastRenderedPageBreak/>
              <w:t>UVOD</w:t>
            </w:r>
            <w:bookmarkEnd w:id="0"/>
          </w:p>
          <w:p w14:paraId="1BF41A69" w14:textId="77777777" w:rsidR="00A808CC" w:rsidRPr="00A6111C" w:rsidRDefault="00A808CC" w:rsidP="006E4904">
            <w:pPr>
              <w:pStyle w:val="Odlomakpopisa"/>
              <w:spacing w:line="288" w:lineRule="auto"/>
              <w:ind w:left="0"/>
              <w:contextualSpacing w:val="0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  <w:p w14:paraId="7EA5EBCF" w14:textId="77777777" w:rsidR="00A808CC" w:rsidRPr="00A6111C" w:rsidRDefault="00A808CC" w:rsidP="006E4904">
            <w:pPr>
              <w:spacing w:after="240" w:line="288" w:lineRule="auto"/>
              <w:jc w:val="both"/>
              <w:rPr>
                <w:rFonts w:cs="Times New Roman"/>
              </w:rPr>
            </w:pPr>
            <w:r w:rsidRPr="00A6111C">
              <w:rPr>
                <w:rFonts w:cs="Times New Roman"/>
              </w:rPr>
              <w:t>Ministarstvo prostornoga uređenja, graditeljstva i državne imovine nositelj je projekta naziva</w:t>
            </w:r>
            <w:r w:rsidRPr="00A6111C">
              <w:rPr>
                <w:rFonts w:cs="Times New Roman"/>
                <w:i/>
                <w:iCs/>
              </w:rPr>
              <w:t xml:space="preserve"> </w:t>
            </w:r>
            <w:r w:rsidRPr="00A6111C">
              <w:rPr>
                <w:rFonts w:cs="Times New Roman"/>
                <w:b/>
                <w:bCs/>
                <w:i/>
                <w:iCs/>
              </w:rPr>
              <w:t>Improving the corporate governance in State-owned enterprises by revising and aligning legislation in accordance with the OECD Guidelines on Corporate Governance of SOEs</w:t>
            </w:r>
            <w:r w:rsidRPr="00A6111C">
              <w:rPr>
                <w:rFonts w:cs="Times New Roman"/>
                <w:i/>
                <w:iCs/>
              </w:rPr>
              <w:t xml:space="preserve">  </w:t>
            </w:r>
            <w:r w:rsidRPr="00A6111C">
              <w:rPr>
                <w:rFonts w:cs="Times New Roman"/>
              </w:rPr>
              <w:t xml:space="preserve">odnosno </w:t>
            </w:r>
            <w:r w:rsidRPr="00A6111C">
              <w:rPr>
                <w:rFonts w:cs="Times New Roman"/>
                <w:b/>
                <w:bCs/>
                <w:i/>
                <w:iCs/>
              </w:rPr>
              <w:t>Unaprjeđenje korporativnog upravljanja u pravnim osobama u vlasništvu države revidiranjem i usklađivanjem zakonske regulative s OECD-ovim smjernicama za korporativno upravljanje.</w:t>
            </w:r>
            <w:r w:rsidRPr="00A6111C">
              <w:rPr>
                <w:rFonts w:cs="Times New Roman"/>
              </w:rPr>
              <w:t xml:space="preserve"> </w:t>
            </w:r>
          </w:p>
          <w:p w14:paraId="3E5450D8" w14:textId="78AD9A27" w:rsidR="00A808CC" w:rsidRPr="00A6111C" w:rsidRDefault="00A808CC" w:rsidP="006E4904">
            <w:pPr>
              <w:spacing w:after="240" w:line="288" w:lineRule="auto"/>
              <w:jc w:val="both"/>
              <w:rPr>
                <w:rFonts w:cs="Times New Roman"/>
                <w:i/>
                <w:iCs/>
              </w:rPr>
            </w:pPr>
            <w:r w:rsidRPr="00A6111C">
              <w:rPr>
                <w:rFonts w:cstheme="minorHAnsi"/>
                <w:sz w:val="24"/>
                <w:szCs w:val="24"/>
              </w:rPr>
              <w:t>Navedeni projekt pokrenut je uz financijsku potporu Glavne direkcije za potporu strukturnim reformama (DG REFORM) Europske komisije, a i</w:t>
            </w:r>
            <w:r w:rsidRPr="00A6111C">
              <w:rPr>
                <w:rFonts w:cs="Times New Roman"/>
              </w:rPr>
              <w:t xml:space="preserve">shodi projekta uvršteni su u </w:t>
            </w:r>
            <w:r w:rsidRPr="00A6111C">
              <w:rPr>
                <w:rFonts w:cs="Times New Roman"/>
                <w:b/>
                <w:bCs/>
                <w:i/>
                <w:iCs/>
              </w:rPr>
              <w:t>Akcijski plan za sudjelovanje Republike Hrvatske u Exchange Rate mehanizmu II (ERM II) tzv. Post Entry Commitment</w:t>
            </w:r>
            <w:r w:rsidRPr="00A6111C">
              <w:rPr>
                <w:rFonts w:cs="Times New Roman"/>
                <w:i/>
                <w:iCs/>
              </w:rPr>
              <w:t xml:space="preserve"> </w:t>
            </w:r>
            <w:r w:rsidRPr="00A6111C">
              <w:rPr>
                <w:rFonts w:cs="Times New Roman"/>
              </w:rPr>
              <w:t>kao i u</w:t>
            </w:r>
            <w:r w:rsidRPr="00A6111C">
              <w:rPr>
                <w:rFonts w:cs="Times New Roman"/>
                <w:i/>
                <w:iCs/>
              </w:rPr>
              <w:t xml:space="preserve"> </w:t>
            </w:r>
            <w:r w:rsidRPr="00A6111C">
              <w:rPr>
                <w:rFonts w:cs="Times New Roman"/>
                <w:b/>
                <w:bCs/>
                <w:i/>
                <w:iCs/>
              </w:rPr>
              <w:t>Nacionaln</w:t>
            </w:r>
            <w:r w:rsidR="004E61B4">
              <w:rPr>
                <w:rFonts w:cs="Times New Roman"/>
                <w:b/>
                <w:bCs/>
                <w:i/>
                <w:iCs/>
              </w:rPr>
              <w:t>i</w:t>
            </w:r>
            <w:r w:rsidRPr="00A6111C">
              <w:rPr>
                <w:rFonts w:cs="Times New Roman"/>
                <w:b/>
                <w:bCs/>
                <w:i/>
                <w:iCs/>
              </w:rPr>
              <w:t xml:space="preserve"> </w:t>
            </w:r>
            <w:r w:rsidRPr="00A6111C">
              <w:rPr>
                <w:b/>
                <w:bCs/>
                <w:i/>
                <w:iCs/>
                <w:sz w:val="23"/>
                <w:szCs w:val="23"/>
              </w:rPr>
              <w:t>plan oporavka i otpornosti</w:t>
            </w:r>
            <w:r w:rsidRPr="00A6111C">
              <w:rPr>
                <w:rFonts w:cs="Times New Roman"/>
                <w:b/>
                <w:bCs/>
                <w:i/>
                <w:iCs/>
              </w:rPr>
              <w:t xml:space="preserve"> 2021. – 2026.</w:t>
            </w:r>
            <w:r w:rsidRPr="00A6111C">
              <w:rPr>
                <w:rFonts w:cs="Times New Roman"/>
                <w:i/>
                <w:iCs/>
              </w:rPr>
              <w:t xml:space="preserve"> </w:t>
            </w:r>
          </w:p>
          <w:p w14:paraId="43AE56FE" w14:textId="77777777" w:rsidR="00A808CC" w:rsidRPr="00A6111C" w:rsidRDefault="00A808CC" w:rsidP="006E4904">
            <w:pPr>
              <w:pStyle w:val="Naslov2"/>
              <w:spacing w:line="288" w:lineRule="auto"/>
              <w:ind w:right="0"/>
              <w:outlineLvl w:val="1"/>
              <w:rPr>
                <w:rFonts w:asciiTheme="minorHAnsi" w:hAnsiTheme="minorHAnsi" w:cs="Times New Roman"/>
                <w:szCs w:val="24"/>
              </w:rPr>
            </w:pPr>
            <w:bookmarkStart w:id="1" w:name="_Toc78527727"/>
            <w:r w:rsidRPr="00A6111C">
              <w:rPr>
                <w:rFonts w:asciiTheme="minorHAnsi" w:hAnsiTheme="minorHAnsi" w:cs="Times New Roman"/>
                <w:szCs w:val="24"/>
              </w:rPr>
              <w:t>Informacije o projektu</w:t>
            </w:r>
            <w:bookmarkEnd w:id="1"/>
          </w:p>
          <w:p w14:paraId="124C3707" w14:textId="77777777" w:rsidR="00A808CC" w:rsidRPr="00A6111C" w:rsidRDefault="00A808CC" w:rsidP="006E4904"/>
          <w:p w14:paraId="10E7B879" w14:textId="77777777" w:rsidR="00A808CC" w:rsidRPr="00A6111C" w:rsidRDefault="00A808CC" w:rsidP="006E4904">
            <w:pPr>
              <w:spacing w:after="240" w:line="288" w:lineRule="auto"/>
              <w:jc w:val="both"/>
              <w:rPr>
                <w:rFonts w:eastAsia="Times New Roman" w:cs="Times New Roman"/>
                <w:bCs/>
                <w:lang w:eastAsia="hr-HR"/>
              </w:rPr>
            </w:pPr>
            <w:r w:rsidRPr="00A6111C">
              <w:rPr>
                <w:rFonts w:eastAsia="Times New Roman" w:cs="Times New Roman"/>
                <w:b/>
                <w:bCs/>
                <w:lang w:eastAsia="hr-HR"/>
              </w:rPr>
              <w:t xml:space="preserve">Projekt pokrenut: </w:t>
            </w:r>
            <w:r w:rsidRPr="00A6111C">
              <w:rPr>
                <w:rFonts w:eastAsia="Times New Roman" w:cs="Times New Roman"/>
                <w:lang w:eastAsia="hr-HR"/>
              </w:rPr>
              <w:t xml:space="preserve">u </w:t>
            </w:r>
            <w:r w:rsidRPr="00A6111C">
              <w:rPr>
                <w:rFonts w:eastAsia="Times New Roman" w:cs="Times New Roman"/>
                <w:bCs/>
                <w:lang w:eastAsia="hr-HR"/>
              </w:rPr>
              <w:t xml:space="preserve">lipnju 2020. godine. Riječ je o projektu koji predstavlja sveobuhvatnu reformu u području korporativnog upravljanja u </w:t>
            </w:r>
            <w:r w:rsidRPr="00A6111C">
              <w:rPr>
                <w:rFonts w:cstheme="minorHAnsi"/>
              </w:rPr>
              <w:t xml:space="preserve">pravnim osobama u vlasništvu </w:t>
            </w:r>
            <w:r>
              <w:rPr>
                <w:rFonts w:cstheme="minorHAnsi"/>
              </w:rPr>
              <w:t>Republike Hrvatske</w:t>
            </w:r>
            <w:r w:rsidRPr="00A6111C">
              <w:rPr>
                <w:rFonts w:eastAsia="Times New Roman" w:cs="Times New Roman"/>
                <w:bCs/>
                <w:lang w:eastAsia="hr-HR"/>
              </w:rPr>
              <w:t>.</w:t>
            </w:r>
          </w:p>
          <w:p w14:paraId="249CC4E3" w14:textId="77777777" w:rsidR="00A808CC" w:rsidRPr="00A6111C" w:rsidRDefault="00A808CC" w:rsidP="006E4904">
            <w:pPr>
              <w:spacing w:after="240" w:line="288" w:lineRule="auto"/>
              <w:jc w:val="both"/>
              <w:rPr>
                <w:rStyle w:val="Naglaeno"/>
                <w:rFonts w:cs="Times New Roman"/>
                <w:shd w:val="clear" w:color="auto" w:fill="FFFFFF"/>
              </w:rPr>
            </w:pPr>
            <w:r w:rsidRPr="00A6111C">
              <w:rPr>
                <w:rStyle w:val="Naglaeno"/>
                <w:rFonts w:cs="Times New Roman"/>
                <w:shd w:val="clear" w:color="auto" w:fill="FFFFFF"/>
              </w:rPr>
              <w:t xml:space="preserve">Nositelj projekta: </w:t>
            </w:r>
            <w:r w:rsidRPr="00A6111C">
              <w:rPr>
                <w:rFonts w:cs="Times New Roman"/>
              </w:rPr>
              <w:t>Ministarstvo prostornoga uređenja, graditeljstva i državne imovine.</w:t>
            </w:r>
          </w:p>
          <w:p w14:paraId="2D3A0485" w14:textId="77777777" w:rsidR="00A808CC" w:rsidRPr="00A6111C" w:rsidRDefault="00A808CC" w:rsidP="006E4904">
            <w:pPr>
              <w:spacing w:after="240" w:line="288" w:lineRule="auto"/>
              <w:jc w:val="both"/>
              <w:rPr>
                <w:rFonts w:cs="Times New Roman"/>
                <w:shd w:val="clear" w:color="auto" w:fill="FFFFFF"/>
              </w:rPr>
            </w:pPr>
            <w:r w:rsidRPr="00A6111C">
              <w:rPr>
                <w:rStyle w:val="Naglaeno"/>
                <w:rFonts w:cs="Times New Roman"/>
                <w:shd w:val="clear" w:color="auto" w:fill="FFFFFF"/>
              </w:rPr>
              <w:t>Koordinator projekta</w:t>
            </w:r>
            <w:r w:rsidRPr="00A6111C">
              <w:rPr>
                <w:rFonts w:cs="Times New Roman"/>
                <w:shd w:val="clear" w:color="auto" w:fill="FFFFFF"/>
              </w:rPr>
              <w:t>: Organizacija za ekonomsku suradnju i razvoj (OECD).</w:t>
            </w:r>
          </w:p>
          <w:p w14:paraId="25CC23CE" w14:textId="77777777" w:rsidR="00A808CC" w:rsidRPr="00A6111C" w:rsidRDefault="00A808CC" w:rsidP="006E4904">
            <w:pPr>
              <w:spacing w:after="240" w:line="288" w:lineRule="auto"/>
              <w:jc w:val="both"/>
              <w:rPr>
                <w:rFonts w:cs="Times New Roman"/>
              </w:rPr>
            </w:pPr>
            <w:r w:rsidRPr="00A6111C">
              <w:rPr>
                <w:rFonts w:eastAsia="Times New Roman" w:cs="Times New Roman"/>
                <w:b/>
                <w:bCs/>
                <w:lang w:eastAsia="hr-HR"/>
              </w:rPr>
              <w:t xml:space="preserve">Cilj projekta: </w:t>
            </w:r>
            <w:r w:rsidRPr="00A6111C">
              <w:rPr>
                <w:rFonts w:cs="Times New Roman"/>
              </w:rPr>
              <w:t xml:space="preserve">Pregled postojeće prakse korporativnog upravljanja u </w:t>
            </w:r>
            <w:r w:rsidRPr="00A6111C">
              <w:rPr>
                <w:rFonts w:cstheme="minorHAnsi"/>
              </w:rPr>
              <w:t xml:space="preserve">pravnim osobama u vlasništvu </w:t>
            </w:r>
            <w:r>
              <w:rPr>
                <w:rFonts w:cstheme="minorHAnsi"/>
              </w:rPr>
              <w:t>Republike Hrvatske</w:t>
            </w:r>
            <w:r w:rsidRPr="00A6111C">
              <w:rPr>
                <w:rFonts w:cs="Times New Roman"/>
              </w:rPr>
              <w:t xml:space="preserve">, utvrđivanje odstupanja od najbolje prakse te sastavljanje preporuka za reviziju regulatornog okvira iz domene korporativnog upravljanja. Važno je naglasiti da zaprimljene </w:t>
            </w:r>
            <w:r w:rsidRPr="00A6111C">
              <w:rPr>
                <w:rFonts w:cs="Times New Roman"/>
                <w:b/>
                <w:bCs/>
              </w:rPr>
              <w:t xml:space="preserve">preporuke OECD-a podrazumijevaju značajnije regulatorne i institucionalne promjene kao i reorganizaciju ovlasti  u pogledu upravljanja u </w:t>
            </w:r>
            <w:r w:rsidRPr="00A6111C">
              <w:rPr>
                <w:rFonts w:cstheme="minorHAnsi"/>
                <w:b/>
                <w:bCs/>
              </w:rPr>
              <w:t xml:space="preserve">pravnim osobama u vlasništvu </w:t>
            </w:r>
            <w:r>
              <w:rPr>
                <w:rFonts w:cstheme="minorHAnsi"/>
              </w:rPr>
              <w:t>Republike Hrvatske</w:t>
            </w:r>
            <w:r w:rsidRPr="00A6111C">
              <w:rPr>
                <w:rFonts w:cs="Times New Roman"/>
                <w:b/>
                <w:bCs/>
              </w:rPr>
              <w:t>,</w:t>
            </w:r>
            <w:r w:rsidRPr="00A6111C">
              <w:rPr>
                <w:rFonts w:cs="Times New Roman"/>
              </w:rPr>
              <w:t xml:space="preserve"> a temeljem kojih će se stvoriti preduvjeti za aktivniju ulogu vlasničkih tijela koji dijele ovlasti u odnosu na državnu imovinu u obliku dionica i udjela.</w:t>
            </w:r>
          </w:p>
          <w:p w14:paraId="2386663C" w14:textId="77777777" w:rsidR="00A808CC" w:rsidRPr="00A6111C" w:rsidRDefault="00A808CC" w:rsidP="006E4904">
            <w:pPr>
              <w:spacing w:after="240" w:line="288" w:lineRule="auto"/>
              <w:jc w:val="both"/>
              <w:rPr>
                <w:rFonts w:cs="Times New Roman"/>
              </w:rPr>
            </w:pPr>
            <w:r w:rsidRPr="00A6111C">
              <w:rPr>
                <w:rFonts w:cs="Times New Roman"/>
                <w:b/>
                <w:bCs/>
              </w:rPr>
              <w:t>Vrijednost projekta</w:t>
            </w:r>
            <w:r w:rsidRPr="00A6111C">
              <w:rPr>
                <w:rFonts w:cs="Times New Roman"/>
              </w:rPr>
              <w:t xml:space="preserve">: 350.000 EUR. Financijska vrijednost projekta je neznatna u odnosu na vrijednost koja se ogleda u sveobuhvatnoj reformi u području korporativnog upravljanja </w:t>
            </w:r>
            <w:r>
              <w:rPr>
                <w:rFonts w:cs="Times New Roman"/>
              </w:rPr>
              <w:t xml:space="preserve">u </w:t>
            </w:r>
            <w:r w:rsidRPr="00A6111C">
              <w:rPr>
                <w:rFonts w:cs="Times New Roman"/>
              </w:rPr>
              <w:t xml:space="preserve">pravnim osobama u vlasništvu </w:t>
            </w:r>
            <w:r>
              <w:rPr>
                <w:rFonts w:cstheme="minorHAnsi"/>
              </w:rPr>
              <w:t>Republike Hrvatske</w:t>
            </w:r>
            <w:r w:rsidRPr="00A6111C">
              <w:rPr>
                <w:rFonts w:cs="Times New Roman"/>
              </w:rPr>
              <w:t>.</w:t>
            </w:r>
          </w:p>
          <w:p w14:paraId="760CE1D0" w14:textId="77777777" w:rsidR="00A808CC" w:rsidRPr="00A6111C" w:rsidRDefault="00A808CC" w:rsidP="006E4904">
            <w:pPr>
              <w:spacing w:after="240" w:line="288" w:lineRule="auto"/>
              <w:jc w:val="both"/>
              <w:rPr>
                <w:rFonts w:eastAsia="Times New Roman" w:cs="Times New Roman"/>
                <w:bCs/>
                <w:lang w:eastAsia="hr-HR"/>
              </w:rPr>
            </w:pPr>
            <w:r w:rsidRPr="00A6111C">
              <w:rPr>
                <w:rFonts w:cs="Times New Roman"/>
                <w:b/>
                <w:bCs/>
              </w:rPr>
              <w:t>Očekivano trajanje projekta:</w:t>
            </w:r>
            <w:r w:rsidRPr="00A6111C">
              <w:rPr>
                <w:rFonts w:cs="Times New Roman"/>
              </w:rPr>
              <w:t xml:space="preserve"> 18 mjeseci (prosinac 2021. godine).</w:t>
            </w:r>
          </w:p>
          <w:p w14:paraId="17141882" w14:textId="34022B4C" w:rsidR="00A808CC" w:rsidRPr="00A6111C" w:rsidRDefault="00A808CC" w:rsidP="006E4904">
            <w:pPr>
              <w:spacing w:line="288" w:lineRule="auto"/>
              <w:jc w:val="both"/>
              <w:rPr>
                <w:rFonts w:cs="Times New Roman"/>
              </w:rPr>
            </w:pPr>
            <w:r w:rsidRPr="00A6111C">
              <w:rPr>
                <w:rFonts w:cs="Times New Roman"/>
                <w:sz w:val="24"/>
                <w:szCs w:val="24"/>
              </w:rPr>
              <w:t xml:space="preserve">Osim </w:t>
            </w:r>
            <w:r w:rsidRPr="00A6111C">
              <w:rPr>
                <w:rFonts w:cs="Times New Roman"/>
              </w:rPr>
              <w:t xml:space="preserve">Ministarstva prostornoga uređenja, graditeljstva i državne imovine koji je nositelj projekta, u svim ključnim aktivnostima nužno je sudjelovanje i niza drugih tijela državne uprave obzirom da je projekt interdisciplinaran, a da se ishodi projekta u pogledu preporuka OECD-a odnose na širu nadležnost tijela </w:t>
            </w:r>
            <w:r w:rsidRPr="00A6111C">
              <w:rPr>
                <w:rFonts w:cs="Times New Roman"/>
              </w:rPr>
              <w:lastRenderedPageBreak/>
              <w:t xml:space="preserve">državne uprave, posebno imajući u vidu da su vlasničke ovlasti nad pravnim osobama u vlasništvu </w:t>
            </w:r>
            <w:r>
              <w:rPr>
                <w:rFonts w:cstheme="minorHAnsi"/>
              </w:rPr>
              <w:t>Republike Hrvatske</w:t>
            </w:r>
            <w:r w:rsidRPr="00A6111C">
              <w:rPr>
                <w:rFonts w:cs="Times New Roman"/>
              </w:rPr>
              <w:t xml:space="preserve"> fragmentirane i kroz regulativu i kroz institucionalnu nadležnost. </w:t>
            </w:r>
          </w:p>
          <w:p w14:paraId="78FCF54F" w14:textId="77777777" w:rsidR="00A808CC" w:rsidRPr="00A6111C" w:rsidRDefault="00A808CC" w:rsidP="006E4904">
            <w:pPr>
              <w:spacing w:line="288" w:lineRule="auto"/>
              <w:jc w:val="both"/>
              <w:rPr>
                <w:rFonts w:cstheme="minorHAnsi"/>
              </w:rPr>
            </w:pPr>
            <w:r w:rsidRPr="00A6111C">
              <w:rPr>
                <w:rFonts w:cstheme="minorHAnsi"/>
              </w:rPr>
              <w:t xml:space="preserve">U nastavku dokumenta daje se pregled ključnih aktivnosti koje su se provele u okviru projekta, ali i onih aktivnosti koje slijede kako bi se odgovarajuće preporuke implementirale, a samim tim i ispunile obveze Republike Hrvatske iz Akcijskog plana za sudjelovanje Republike Hrvatske u Exchange Rate mehanizmu II (ERM II) kao tzv. Post Entry Commitment kao i iz Nacionalnog plana oporavka i otpornosti 2021. – 2026. </w:t>
            </w:r>
          </w:p>
          <w:p w14:paraId="1B5BDFD9" w14:textId="77777777" w:rsidR="00A808CC" w:rsidRPr="00A6111C" w:rsidRDefault="00A808CC" w:rsidP="006E4904">
            <w:pPr>
              <w:pStyle w:val="Naslov1"/>
              <w:spacing w:line="288" w:lineRule="auto"/>
              <w:outlineLvl w:val="0"/>
              <w:rPr>
                <w:rFonts w:asciiTheme="minorHAnsi" w:hAnsiTheme="minorHAnsi" w:cs="Times New Roman"/>
              </w:rPr>
            </w:pPr>
            <w:bookmarkStart w:id="2" w:name="_Toc78527728"/>
            <w:r w:rsidRPr="00A6111C">
              <w:rPr>
                <w:rFonts w:asciiTheme="minorHAnsi" w:hAnsiTheme="minorHAnsi" w:cs="Times New Roman"/>
              </w:rPr>
              <w:t>POVEZNICA SA KLJUČNIM DOKUMENTIMA</w:t>
            </w:r>
            <w:bookmarkEnd w:id="2"/>
          </w:p>
          <w:p w14:paraId="2EA73CF5" w14:textId="77777777" w:rsidR="00A808CC" w:rsidRPr="00A6111C" w:rsidRDefault="00A808CC" w:rsidP="006E4904"/>
          <w:p w14:paraId="60DA5486" w14:textId="77777777" w:rsidR="00A808CC" w:rsidRPr="00A6111C" w:rsidRDefault="00A808CC" w:rsidP="006E4904">
            <w:pPr>
              <w:spacing w:line="288" w:lineRule="auto"/>
              <w:jc w:val="both"/>
              <w:rPr>
                <w:rFonts w:cstheme="minorHAnsi"/>
              </w:rPr>
            </w:pPr>
            <w:r w:rsidRPr="00A6111C">
              <w:rPr>
                <w:rFonts w:cstheme="minorHAnsi"/>
              </w:rPr>
              <w:t xml:space="preserve">Obzirom na činjenicu da realizacija ovog projekta, ujedno predstavlja i jedan od najzahtjevnijih preduvjeta ulaska Republike Hrvatske u punopravno članstvo OECD-a, osnaživanje i unapređenje korporativnog upravljanja u pravnim osobama u vlasništvu </w:t>
            </w:r>
            <w:r>
              <w:rPr>
                <w:rFonts w:cstheme="minorHAnsi"/>
              </w:rPr>
              <w:t>Republike Hrvatske</w:t>
            </w:r>
            <w:r w:rsidRPr="00A6111C">
              <w:rPr>
                <w:rFonts w:cstheme="minorHAnsi"/>
              </w:rPr>
              <w:t xml:space="preserve"> u skladu sa Smjernicama OECD-a, ali i aktivnija uloga države kao vlasnika predstavlja jedan od prioritetnih ciljeva u narednom razdoblju, stoga su ishodi ovog projekta kao najznačajnije reforme u području korporativnog upravljanja u pravnim osobama u vlasništvu </w:t>
            </w:r>
            <w:r>
              <w:rPr>
                <w:rFonts w:cstheme="minorHAnsi"/>
              </w:rPr>
              <w:t>Republike Hrvatske</w:t>
            </w:r>
            <w:r w:rsidRPr="00A6111C">
              <w:rPr>
                <w:rFonts w:cstheme="minorHAnsi"/>
              </w:rPr>
              <w:t xml:space="preserve"> prepoznati i harmonizirani sa dva važna dokumenta Republike Hrvatske i to kako slijedi:  </w:t>
            </w:r>
          </w:p>
          <w:p w14:paraId="32E98A7F" w14:textId="77777777" w:rsidR="00A808CC" w:rsidRPr="00A6111C" w:rsidRDefault="00A808CC" w:rsidP="006E4904"/>
          <w:p w14:paraId="4473009B" w14:textId="77777777" w:rsidR="00A808CC" w:rsidRPr="00A6111C" w:rsidRDefault="00A808CC" w:rsidP="006E4904">
            <w:pPr>
              <w:pStyle w:val="Naslov2"/>
              <w:spacing w:line="288" w:lineRule="auto"/>
              <w:ind w:right="0"/>
              <w:outlineLvl w:val="1"/>
              <w:rPr>
                <w:rFonts w:asciiTheme="minorHAnsi" w:hAnsiTheme="minorHAnsi" w:cs="Times New Roman"/>
                <w:szCs w:val="24"/>
              </w:rPr>
            </w:pPr>
            <w:bookmarkStart w:id="3" w:name="_Toc78527729"/>
            <w:r w:rsidRPr="00A6111C">
              <w:rPr>
                <w:rFonts w:asciiTheme="minorHAnsi" w:hAnsiTheme="minorHAnsi" w:cs="Times New Roman"/>
                <w:szCs w:val="24"/>
              </w:rPr>
              <w:t>Akcijski plan za sudjelovanje Republike Hrvatske u Exchange Rate mehanizmu II (ERM II) Post Entry Commitment</w:t>
            </w:r>
            <w:bookmarkEnd w:id="3"/>
            <w:r w:rsidRPr="00A6111C">
              <w:rPr>
                <w:rFonts w:asciiTheme="minorHAnsi" w:hAnsiTheme="minorHAnsi" w:cs="Times New Roman"/>
                <w:szCs w:val="24"/>
              </w:rPr>
              <w:t xml:space="preserve"> </w:t>
            </w:r>
          </w:p>
          <w:p w14:paraId="0AEB0551" w14:textId="77777777" w:rsidR="00A808CC" w:rsidRPr="00A6111C" w:rsidRDefault="00A808CC" w:rsidP="006E4904">
            <w:pPr>
              <w:tabs>
                <w:tab w:val="left" w:pos="2505"/>
              </w:tabs>
            </w:pPr>
            <w:r w:rsidRPr="00A6111C">
              <w:tab/>
            </w:r>
          </w:p>
          <w:p w14:paraId="722B865B" w14:textId="0C7EE6B7" w:rsidR="00A808CC" w:rsidRDefault="00A808CC" w:rsidP="00A636A2">
            <w:pPr>
              <w:spacing w:line="288" w:lineRule="auto"/>
              <w:jc w:val="both"/>
              <w:rPr>
                <w:rFonts w:cstheme="minorHAnsi"/>
              </w:rPr>
            </w:pPr>
            <w:r w:rsidRPr="00A6111C">
              <w:rPr>
                <w:rFonts w:cstheme="minorHAnsi"/>
              </w:rPr>
              <w:t xml:space="preserve">U okviru Akcijskog plana za sudjelovanje Republike Hrvatske u Exchange Rate mehanizmu II (ERM II) kao tzv. Post Entry Commitment, a koji dokument predstavlja preduvjet za uvođenje eura kao službene valute u Republici Hrvatskoj, Republika Hrvatska se u području politike </w:t>
            </w:r>
            <w:r w:rsidRPr="00A6111C">
              <w:rPr>
                <w:rFonts w:cstheme="minorHAnsi"/>
                <w:i/>
                <w:iCs/>
              </w:rPr>
              <w:t>Upravljanje u javnom sektoru</w:t>
            </w:r>
            <w:r w:rsidRPr="00A6111C">
              <w:rPr>
                <w:rFonts w:cstheme="minorHAnsi"/>
              </w:rPr>
              <w:t xml:space="preserve"> do ožujka 2022. godine obvezala na poboljšano upravljanje u pravnim osobama u državnom vlasništvu kroz revidiranje i usklađivanje zakonske regulative s OECD-ovim smjernicama za korporativno upravljanje u pravnim osobama u vlasništvu </w:t>
            </w:r>
            <w:r>
              <w:rPr>
                <w:rFonts w:cstheme="minorHAnsi"/>
              </w:rPr>
              <w:t>Republike Hrvatske</w:t>
            </w:r>
            <w:r w:rsidRPr="00A6111C">
              <w:rPr>
                <w:rFonts w:cstheme="minorHAnsi"/>
              </w:rPr>
              <w:t xml:space="preserve"> i to kako slijedi:</w:t>
            </w:r>
          </w:p>
          <w:p w14:paraId="7B65C46E" w14:textId="77777777" w:rsidR="00A636A2" w:rsidRPr="00A6111C" w:rsidRDefault="00A636A2" w:rsidP="00A636A2">
            <w:pPr>
              <w:spacing w:line="288" w:lineRule="auto"/>
              <w:jc w:val="both"/>
              <w:rPr>
                <w:rFonts w:cstheme="minorHAnsi"/>
              </w:rPr>
            </w:pPr>
          </w:p>
          <w:p w14:paraId="0ACE4846" w14:textId="77777777" w:rsidR="00A808CC" w:rsidRPr="00A6111C" w:rsidRDefault="00A808CC" w:rsidP="00A808C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A6111C">
              <w:rPr>
                <w:rFonts w:cstheme="minorHAnsi"/>
              </w:rPr>
              <w:t>izraditi i objaviti Pregled korporativnog upravljanja u pravnim osobama u vlasništvu države (tzv. Review) - IZVRŠENO</w:t>
            </w:r>
          </w:p>
          <w:p w14:paraId="26B7589C" w14:textId="77777777" w:rsidR="00A808CC" w:rsidRPr="00A6111C" w:rsidRDefault="00A808CC" w:rsidP="006E4904">
            <w:pPr>
              <w:spacing w:line="288" w:lineRule="auto"/>
              <w:jc w:val="both"/>
              <w:rPr>
                <w:rFonts w:cstheme="minorHAnsi"/>
              </w:rPr>
            </w:pPr>
          </w:p>
          <w:p w14:paraId="3C6AFB78" w14:textId="0A2DBAE2" w:rsidR="00A808CC" w:rsidRPr="00A6111C" w:rsidRDefault="00A808CC" w:rsidP="006E4904">
            <w:pPr>
              <w:spacing w:line="288" w:lineRule="auto"/>
              <w:jc w:val="both"/>
              <w:rPr>
                <w:rFonts w:cstheme="minorHAnsi"/>
              </w:rPr>
            </w:pPr>
            <w:r w:rsidRPr="00A6111C">
              <w:rPr>
                <w:rFonts w:cstheme="minorHAnsi"/>
              </w:rPr>
              <w:t>Izrada dokumenta Review izvornog naziva „</w:t>
            </w:r>
            <w:r w:rsidRPr="00A6111C">
              <w:rPr>
                <w:rFonts w:cstheme="minorHAnsi"/>
                <w:i/>
                <w:iCs/>
              </w:rPr>
              <w:t>A Review against the OECD Guidelines on Corporate Governance of SOEs“</w:t>
            </w:r>
            <w:r w:rsidRPr="00A6111C">
              <w:rPr>
                <w:rFonts w:cstheme="minorHAnsi"/>
              </w:rPr>
              <w:t xml:space="preserve"> standardna je procedura za bilo koju zemlju koja želi pristupiti pravnom instrumentu „OECD-ove Smjernice korporativnog upravljanja u pravnim osobama u vlasništvu države“. Dokument je izrađen temeljem odgovora na sveobuhvatni upitnik na kojem je </w:t>
            </w:r>
            <w:r w:rsidRPr="00A6111C">
              <w:rPr>
                <w:rFonts w:cs="Times New Roman"/>
              </w:rPr>
              <w:t>Ministarstvo prostornoga uređenja, graditeljstva i državne imovine</w:t>
            </w:r>
            <w:r w:rsidRPr="00A6111C">
              <w:rPr>
                <w:rFonts w:cstheme="minorHAnsi"/>
              </w:rPr>
              <w:t xml:space="preserve"> radilo u suradnji sa drugim tijelima državne uprave tijekom </w:t>
            </w:r>
            <w:r w:rsidRPr="00A6111C">
              <w:rPr>
                <w:rFonts w:cstheme="minorHAnsi"/>
              </w:rPr>
              <w:lastRenderedPageBreak/>
              <w:t xml:space="preserve">prethodne i u prvoj polovici ove godine, ali i temeljem brojnih sastanaka održanih između OECD-a i različitih relevantnih tijela. </w:t>
            </w:r>
          </w:p>
          <w:p w14:paraId="6F3DF751" w14:textId="77777777" w:rsidR="00A808CC" w:rsidRPr="00A6111C" w:rsidRDefault="00A808CC" w:rsidP="006E4904">
            <w:pPr>
              <w:spacing w:line="288" w:lineRule="auto"/>
              <w:rPr>
                <w:rFonts w:cstheme="minorHAnsi"/>
              </w:rPr>
            </w:pPr>
            <w:r w:rsidRPr="00A6111C">
              <w:rPr>
                <w:rFonts w:cstheme="minorHAnsi"/>
              </w:rPr>
              <w:t xml:space="preserve">Review je strukturiran na način da prvi dio dokumenta pruža osnovne informacije o trenutnom stanju i pregledu upravljanja u pravnim osobama u vlasništvu </w:t>
            </w:r>
            <w:r>
              <w:rPr>
                <w:rFonts w:cstheme="minorHAnsi"/>
              </w:rPr>
              <w:t>Republike Hrvatske</w:t>
            </w:r>
            <w:r w:rsidRPr="00A6111C">
              <w:rPr>
                <w:rFonts w:cstheme="minorHAnsi"/>
              </w:rPr>
              <w:t>, uključujući primjenjivi pravni i regulatorni okvir, dok drugi dio dokumenta daje ocjenu postojećeg hrvatskog zakonodavstva u odnosu na standarde Smjernica OECD-a za korporativno upravljanje u pravnim osobama u vlasništvu države. Posljednji dio dokumenta sublimira zaključke i preporuke za poboljšanje okvira korporativnog upravljanja primjenjivog na pravn</w:t>
            </w:r>
            <w:r>
              <w:rPr>
                <w:rFonts w:cstheme="minorHAnsi"/>
              </w:rPr>
              <w:t>e</w:t>
            </w:r>
            <w:r w:rsidRPr="00A6111C">
              <w:rPr>
                <w:rFonts w:cstheme="minorHAnsi"/>
              </w:rPr>
              <w:t xml:space="preserve"> osob</w:t>
            </w:r>
            <w:r>
              <w:rPr>
                <w:rFonts w:cstheme="minorHAnsi"/>
              </w:rPr>
              <w:t>e</w:t>
            </w:r>
            <w:r w:rsidRPr="00A6111C">
              <w:rPr>
                <w:rFonts w:cstheme="minorHAnsi"/>
              </w:rPr>
              <w:t xml:space="preserve"> u vlasništvu </w:t>
            </w:r>
            <w:r>
              <w:rPr>
                <w:rFonts w:cstheme="minorHAnsi"/>
              </w:rPr>
              <w:t>Republike Hrvatske</w:t>
            </w:r>
            <w:r w:rsidRPr="00A6111C">
              <w:rPr>
                <w:rFonts w:cstheme="minorHAnsi"/>
              </w:rPr>
              <w:t>. Zaključci i preporuke javno su objavljen</w:t>
            </w:r>
            <w:r>
              <w:rPr>
                <w:rFonts w:cstheme="minorHAnsi"/>
              </w:rPr>
              <w:t>i</w:t>
            </w:r>
            <w:r w:rsidRPr="00A6111C">
              <w:rPr>
                <w:rFonts w:cstheme="minorHAnsi"/>
              </w:rPr>
              <w:t xml:space="preserve"> na </w:t>
            </w:r>
            <w:r w:rsidRPr="00A6111C">
              <w:t xml:space="preserve">internet stranici OECD-a </w:t>
            </w:r>
            <w:r w:rsidRPr="00A6111C">
              <w:rPr>
                <w:rFonts w:cstheme="minorHAnsi"/>
              </w:rPr>
              <w:t xml:space="preserve"> na linku kako slijedi</w:t>
            </w:r>
            <w:r>
              <w:rPr>
                <w:rFonts w:cstheme="minorHAnsi"/>
              </w:rPr>
              <w:t>:</w:t>
            </w:r>
            <w:r w:rsidRPr="00A6111C">
              <w:rPr>
                <w:rFonts w:cstheme="minorHAnsi"/>
              </w:rPr>
              <w:t xml:space="preserve"> </w:t>
            </w:r>
            <w:hyperlink r:id="rId11" w:history="1">
              <w:r w:rsidRPr="00A6111C">
                <w:rPr>
                  <w:rStyle w:val="Hiperveza"/>
                  <w:rFonts w:cstheme="minorHAnsi"/>
                </w:rPr>
                <w:t>https://www.oecd.org/corporate/Conclusions-and-recommendations-SOE-Review-of-Croatia-HR.pdf</w:t>
              </w:r>
            </w:hyperlink>
            <w:r w:rsidRPr="00A6111C">
              <w:rPr>
                <w:rFonts w:cstheme="minorHAnsi"/>
              </w:rPr>
              <w:t xml:space="preserve">. </w:t>
            </w:r>
          </w:p>
          <w:p w14:paraId="0E7A983D" w14:textId="77777777" w:rsidR="00A808CC" w:rsidRPr="00A6111C" w:rsidRDefault="00A808CC" w:rsidP="006E4904">
            <w:pPr>
              <w:spacing w:line="288" w:lineRule="auto"/>
              <w:jc w:val="both"/>
              <w:rPr>
                <w:rFonts w:cstheme="minorHAnsi"/>
              </w:rPr>
            </w:pPr>
            <w:r w:rsidRPr="00A6111C">
              <w:rPr>
                <w:rFonts w:cstheme="minorHAnsi"/>
              </w:rPr>
              <w:t>Nacrt izrađenog dokumenta bio je predmet rasprave na sastanku OECD-ove Radne skupine (Working Party on State Ownership and Privatisation Practices) dana 17. ožujka 2021. godine</w:t>
            </w:r>
            <w:r w:rsidRPr="00A6111C">
              <w:rPr>
                <w:rFonts w:cs="Times New Roman"/>
              </w:rPr>
              <w:t xml:space="preserve"> te je isti prihvaćen od strane delegata Radne skupine</w:t>
            </w:r>
            <w:r w:rsidRPr="00A6111C">
              <w:rPr>
                <w:rFonts w:cstheme="minorHAnsi"/>
              </w:rPr>
              <w:t xml:space="preserve">. </w:t>
            </w:r>
          </w:p>
          <w:p w14:paraId="7971C6A2" w14:textId="23DF1722" w:rsidR="00A808CC" w:rsidRPr="00A6111C" w:rsidRDefault="00A808CC" w:rsidP="006E4904">
            <w:pPr>
              <w:spacing w:line="288" w:lineRule="auto"/>
              <w:jc w:val="both"/>
              <w:rPr>
                <w:rFonts w:cstheme="minorHAnsi"/>
              </w:rPr>
            </w:pPr>
            <w:r w:rsidRPr="00A6111C">
              <w:rPr>
                <w:rFonts w:cstheme="minorHAnsi"/>
              </w:rPr>
              <w:t xml:space="preserve">Dana 08. lipnja 2021. godine u organizaciji OECD-a održan je tzv. Launch event odnosno javno predstavljanje Reviewa, sa ciljem da se osigura </w:t>
            </w:r>
            <w:r w:rsidRPr="00A6111C">
              <w:t xml:space="preserve">platforma za raspravu o glavnim zaključcima, procjeni i preporukama koje proizlaze iz OECD-ova pregleda korporativnog upravljanja u pravnim osobama u vlasništvu države u Hrvatskoj. Istog dana dokument Review je i javno objavljen i na internet stranici OECD-a </w:t>
            </w:r>
            <w:r w:rsidRPr="00A6111C">
              <w:rPr>
                <w:rFonts w:cstheme="minorHAnsi"/>
              </w:rPr>
              <w:t xml:space="preserve"> </w:t>
            </w:r>
            <w:hyperlink r:id="rId12" w:history="1">
              <w:r w:rsidRPr="00A6111C">
                <w:rPr>
                  <w:rStyle w:val="Hiperveza"/>
                  <w:rFonts w:cstheme="minorHAnsi"/>
                </w:rPr>
                <w:t>https://www.oecd.org/corporate/soe-review-croatia.htm</w:t>
              </w:r>
            </w:hyperlink>
            <w:r w:rsidRPr="00A6111C">
              <w:rPr>
                <w:rFonts w:cstheme="minorHAnsi"/>
              </w:rPr>
              <w:t xml:space="preserve"> čime je ispunjena navedena aktivnost</w:t>
            </w:r>
            <w:r w:rsidR="000A67E2">
              <w:rPr>
                <w:rFonts w:cstheme="minorHAnsi"/>
              </w:rPr>
              <w:t xml:space="preserve"> iz</w:t>
            </w:r>
            <w:r w:rsidR="000A67E2" w:rsidRPr="00A6111C">
              <w:rPr>
                <w:rFonts w:cstheme="minorHAnsi"/>
              </w:rPr>
              <w:t xml:space="preserve"> ERM II Post Entry Commitment</w:t>
            </w:r>
            <w:r w:rsidRPr="00A6111C">
              <w:rPr>
                <w:rFonts w:cstheme="minorHAnsi"/>
              </w:rPr>
              <w:t>.</w:t>
            </w:r>
          </w:p>
          <w:p w14:paraId="1CDE2758" w14:textId="77777777" w:rsidR="00A808CC" w:rsidRPr="00A6111C" w:rsidRDefault="00A808CC" w:rsidP="006E4904">
            <w:pPr>
              <w:rPr>
                <w:rFonts w:cstheme="minorHAnsi"/>
              </w:rPr>
            </w:pPr>
          </w:p>
          <w:p w14:paraId="1198236D" w14:textId="77777777" w:rsidR="00A808CC" w:rsidRPr="00A6111C" w:rsidRDefault="00A808CC" w:rsidP="00A808C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A6111C">
              <w:rPr>
                <w:rFonts w:cstheme="minorHAnsi"/>
              </w:rPr>
              <w:t>donijeti službeni akt Vlade Republike Hrvatske o provedbi odgovarajućih preporuka OECD-a – U PROCESU IZVRŠENJA</w:t>
            </w:r>
          </w:p>
          <w:p w14:paraId="1493D8E1" w14:textId="77777777" w:rsidR="00A808CC" w:rsidRPr="00A6111C" w:rsidRDefault="00A808CC" w:rsidP="006E4904">
            <w:pPr>
              <w:spacing w:line="288" w:lineRule="auto"/>
              <w:jc w:val="both"/>
              <w:rPr>
                <w:sz w:val="28"/>
              </w:rPr>
            </w:pPr>
          </w:p>
          <w:p w14:paraId="53FE532C" w14:textId="5AB9C8C5" w:rsidR="000A67E2" w:rsidRPr="004A4425" w:rsidRDefault="000A67E2" w:rsidP="004E271E">
            <w:pPr>
              <w:spacing w:line="276" w:lineRule="auto"/>
              <w:jc w:val="both"/>
              <w:rPr>
                <w:rFonts w:cstheme="minorHAnsi"/>
              </w:rPr>
            </w:pPr>
            <w:r w:rsidRPr="004A4425">
              <w:rPr>
                <w:rFonts w:cstheme="minorHAnsi"/>
              </w:rPr>
              <w:t xml:space="preserve">Nakon usuglašavanja </w:t>
            </w:r>
            <w:r w:rsidR="004A4425" w:rsidRPr="004A4425">
              <w:rPr>
                <w:rFonts w:cstheme="minorHAnsi"/>
              </w:rPr>
              <w:t xml:space="preserve">aktivnosti i rokova </w:t>
            </w:r>
            <w:r w:rsidR="004E61B4">
              <w:rPr>
                <w:rFonts w:cstheme="minorHAnsi"/>
              </w:rPr>
              <w:t xml:space="preserve">za implementaciju </w:t>
            </w:r>
            <w:r w:rsidR="004A4425" w:rsidRPr="004A4425">
              <w:rPr>
                <w:rFonts w:cstheme="minorHAnsi"/>
              </w:rPr>
              <w:t>odgovarajućih preporuka OECD</w:t>
            </w:r>
            <w:r w:rsidR="006F6F55">
              <w:rPr>
                <w:rFonts w:cstheme="minorHAnsi"/>
              </w:rPr>
              <w:t>-a</w:t>
            </w:r>
            <w:r w:rsidR="004A4425" w:rsidRPr="004A4425">
              <w:rPr>
                <w:rFonts w:cstheme="minorHAnsi"/>
              </w:rPr>
              <w:t xml:space="preserve"> </w:t>
            </w:r>
            <w:r w:rsidRPr="004A4425">
              <w:rPr>
                <w:rFonts w:cstheme="minorHAnsi"/>
              </w:rPr>
              <w:t>sa relevantnim tijelima državne uprave izrađen je ovaj Akcijski plan koji čini sastavni dio nacrta Odluke Vlade Republike Hrvatske o donošenju Akcijskog plana za implementaciju preporuka OECD-a za unaprjeđenje korporativnog upravljanja u  pravnim osobama u vlasništvu Republike Hrvatske i osnivanju Upravljačkog odbora, čije</w:t>
            </w:r>
            <w:r w:rsidR="004A4425" w:rsidRPr="004A4425">
              <w:rPr>
                <w:rFonts w:cstheme="minorHAnsi"/>
              </w:rPr>
              <w:t xml:space="preserve"> će</w:t>
            </w:r>
            <w:r w:rsidRPr="004A4425">
              <w:rPr>
                <w:rFonts w:cstheme="minorHAnsi"/>
              </w:rPr>
              <w:t xml:space="preserve"> donošenje</w:t>
            </w:r>
            <w:r w:rsidR="004A4425" w:rsidRPr="004A4425">
              <w:rPr>
                <w:rFonts w:cstheme="minorHAnsi"/>
              </w:rPr>
              <w:t xml:space="preserve"> ujedno i </w:t>
            </w:r>
            <w:r w:rsidRPr="004A4425">
              <w:rPr>
                <w:rFonts w:cstheme="minorHAnsi"/>
              </w:rPr>
              <w:t>predstavljati ostvarenje navedene aktivnosti iz ERM II Post Entry Commitment.</w:t>
            </w:r>
          </w:p>
          <w:p w14:paraId="54DC4C9A" w14:textId="77777777" w:rsidR="00A808CC" w:rsidRPr="00A6111C" w:rsidRDefault="00A808CC" w:rsidP="006E4904">
            <w:pPr>
              <w:pStyle w:val="Naslov2"/>
              <w:spacing w:line="288" w:lineRule="auto"/>
              <w:ind w:right="0"/>
              <w:outlineLvl w:val="1"/>
              <w:rPr>
                <w:rFonts w:asciiTheme="minorHAnsi" w:hAnsiTheme="minorHAnsi" w:cs="Times New Roman"/>
                <w:szCs w:val="24"/>
              </w:rPr>
            </w:pPr>
            <w:bookmarkStart w:id="4" w:name="_Toc78527730"/>
            <w:r w:rsidRPr="00A6111C">
              <w:rPr>
                <w:rFonts w:asciiTheme="minorHAnsi" w:hAnsiTheme="minorHAnsi" w:cs="Times New Roman"/>
                <w:szCs w:val="24"/>
              </w:rPr>
              <w:t>Nacionalni plan oporavka i otpornosti 2021. – 2026.</w:t>
            </w:r>
            <w:bookmarkEnd w:id="4"/>
            <w:r w:rsidRPr="00A6111C">
              <w:rPr>
                <w:rFonts w:asciiTheme="minorHAnsi" w:hAnsiTheme="minorHAnsi" w:cs="Times New Roman"/>
                <w:szCs w:val="24"/>
              </w:rPr>
              <w:t xml:space="preserve"> </w:t>
            </w:r>
          </w:p>
          <w:p w14:paraId="22738717" w14:textId="77777777" w:rsidR="00A808CC" w:rsidRPr="00A6111C" w:rsidRDefault="00A808CC" w:rsidP="006E4904">
            <w:pPr>
              <w:spacing w:line="288" w:lineRule="auto"/>
              <w:jc w:val="both"/>
              <w:rPr>
                <w:sz w:val="28"/>
              </w:rPr>
            </w:pPr>
          </w:p>
          <w:p w14:paraId="45123A59" w14:textId="07E50997" w:rsidR="00A808CC" w:rsidRPr="00B96B14" w:rsidRDefault="00A808CC" w:rsidP="006E4904">
            <w:pPr>
              <w:spacing w:line="288" w:lineRule="auto"/>
              <w:jc w:val="both"/>
              <w:rPr>
                <w:color w:val="000000"/>
              </w:rPr>
            </w:pPr>
            <w:r w:rsidRPr="00A6111C">
              <w:rPr>
                <w:color w:val="000000"/>
              </w:rPr>
              <w:t xml:space="preserve">Dana 29. travnja 2021. Vlada Republike Hrvatske je usvojila, a Europska komisija 15. svibnja 2021. godine zaprimila na završno usuglašavanje prijedlog Nacionalnog plana oporavka i otpornosti 2021.-2026. godine (dalje u tekstu: NPOO), a u okviru komponente </w:t>
            </w:r>
            <w:r w:rsidRPr="00A6111C">
              <w:rPr>
                <w:i/>
                <w:iCs/>
                <w:color w:val="000000"/>
              </w:rPr>
              <w:t xml:space="preserve">2. Javna uprava, pravosuđe i državna </w:t>
            </w:r>
            <w:r w:rsidRPr="00A6111C">
              <w:rPr>
                <w:i/>
                <w:iCs/>
                <w:color w:val="000000"/>
              </w:rPr>
              <w:lastRenderedPageBreak/>
              <w:t>imovina</w:t>
            </w:r>
            <w:r w:rsidRPr="00A6111C">
              <w:rPr>
                <w:color w:val="000000"/>
              </w:rPr>
              <w:t xml:space="preserve"> definirana je i podkomponenta </w:t>
            </w:r>
            <w:r w:rsidRPr="00A6111C">
              <w:rPr>
                <w:i/>
                <w:iCs/>
                <w:color w:val="000000"/>
              </w:rPr>
              <w:t>Unapređenje upravljanja državnom imovinom</w:t>
            </w:r>
            <w:r w:rsidRPr="00B96B14">
              <w:rPr>
                <w:color w:val="000000"/>
              </w:rPr>
              <w:t xml:space="preserve">. U srpnju ove godine Europska komisija je pozitivno ocijenila </w:t>
            </w:r>
            <w:r w:rsidR="00E51E71">
              <w:rPr>
                <w:color w:val="000000"/>
              </w:rPr>
              <w:t xml:space="preserve">i usvojila </w:t>
            </w:r>
            <w:r w:rsidRPr="00B96B14">
              <w:rPr>
                <w:color w:val="000000"/>
              </w:rPr>
              <w:t>ovaj dokument.</w:t>
            </w:r>
          </w:p>
          <w:p w14:paraId="67553CA0" w14:textId="77777777" w:rsidR="00A808CC" w:rsidRPr="00A6111C" w:rsidRDefault="00A808CC" w:rsidP="006E4904">
            <w:pPr>
              <w:spacing w:line="288" w:lineRule="auto"/>
              <w:jc w:val="both"/>
              <w:rPr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54"/>
            </w:tblGrid>
            <w:tr w:rsidR="00A808CC" w:rsidRPr="00A6111C" w14:paraId="2DC92DFC" w14:textId="77777777" w:rsidTr="006E4904">
              <w:trPr>
                <w:trHeight w:val="1191"/>
              </w:trPr>
              <w:tc>
                <w:tcPr>
                  <w:tcW w:w="0" w:type="auto"/>
                </w:tcPr>
                <w:p w14:paraId="4C03AD3A" w14:textId="77777777" w:rsidR="00A808CC" w:rsidRPr="00A6111C" w:rsidRDefault="00A808CC" w:rsidP="006E4904">
                  <w:pPr>
                    <w:spacing w:after="0" w:line="288" w:lineRule="auto"/>
                    <w:ind w:left="-68"/>
                    <w:jc w:val="both"/>
                  </w:pPr>
                  <w:r w:rsidRPr="00A6111C">
                    <w:rPr>
                      <w:rFonts w:cstheme="minorHAnsi"/>
                    </w:rPr>
                    <w:t xml:space="preserve">Reforma u okviru NPOO-a uključuje izmjene i dopune okvira koji regulira korporativno upravljanje u pravnim osobama u vlasništvu države od posebnog interesa za Hrvatsku, odnosno u pravnim osobama u vlasništvu države u potpunom ili većinskom vlasništvu središnje države, kako bi se usuglasio sa smjernicama OECD-a odnosno službenim preporukama OECD-a za korporativno upravljanje u pravnim osobama u vlasništvu države. To se prvenstveno odnosi na izradu i usvajanje posebnog Zakona o pravnim osobama u vlasništvu </w:t>
                  </w:r>
                  <w:r>
                    <w:rPr>
                      <w:rFonts w:cstheme="minorHAnsi"/>
                    </w:rPr>
                    <w:t>Republike Hrvatske</w:t>
                  </w:r>
                  <w:r w:rsidRPr="00A6111C">
                    <w:rPr>
                      <w:rFonts w:cstheme="minorHAnsi"/>
                    </w:rPr>
                    <w:t xml:space="preserve">, kako bi se uspostavio jedinstveni regulatorni okvir iz domene korporativnog upravljanja, s obzirom da postojeći pravni i regulatorni okvir ne daje sveobuhvatan pogled na praksu korporativnog upravljanja, </w:t>
                  </w:r>
                  <w:r w:rsidRPr="00A6111C">
                    <w:t xml:space="preserve">ali i razmatranje revidiranja šireg skupa pravnih akata na nacionalnom nivou obzirom na trenutnu decentraliziranost u upravljanju, a sve u skladu s preporukama OECD-a. </w:t>
                  </w:r>
                </w:p>
                <w:p w14:paraId="44196183" w14:textId="77777777" w:rsidR="00A808CC" w:rsidRPr="00A6111C" w:rsidRDefault="00A808CC" w:rsidP="006E4904">
                  <w:pPr>
                    <w:spacing w:after="0" w:line="288" w:lineRule="auto"/>
                    <w:ind w:left="-68"/>
                    <w:jc w:val="both"/>
                  </w:pPr>
                </w:p>
                <w:p w14:paraId="1CBEB775" w14:textId="77777777" w:rsidR="00A808CC" w:rsidRPr="00A6111C" w:rsidRDefault="00A808CC" w:rsidP="006E4904">
                  <w:pPr>
                    <w:spacing w:after="0" w:line="288" w:lineRule="auto"/>
                    <w:ind w:left="-68"/>
                    <w:jc w:val="both"/>
                  </w:pPr>
                  <w:r w:rsidRPr="00A6111C">
                    <w:t xml:space="preserve">Novim regulatornim okvirom odredila bi se i uspostava središnje koordinacijske jedinice s ciljem efikasnijeg provođenja vlasničke politike u srednjem roku, odnosno horizontalne koordinacije nadležnih tijela zaduženih za obavljanje funkcija vlasničkih ovlasti. </w:t>
                  </w:r>
                </w:p>
                <w:p w14:paraId="5B90C750" w14:textId="77777777" w:rsidR="00A808CC" w:rsidRPr="00A6111C" w:rsidRDefault="00A808CC" w:rsidP="006E4904">
                  <w:pPr>
                    <w:spacing w:after="0" w:line="288" w:lineRule="auto"/>
                    <w:ind w:left="-68"/>
                    <w:jc w:val="both"/>
                  </w:pPr>
                </w:p>
                <w:p w14:paraId="5C3B30A9" w14:textId="77777777" w:rsidR="00A808CC" w:rsidRPr="00A6111C" w:rsidRDefault="00A808CC" w:rsidP="006E4904">
                  <w:pPr>
                    <w:spacing w:after="0" w:line="288" w:lineRule="auto"/>
                    <w:ind w:left="-68"/>
                    <w:jc w:val="both"/>
                  </w:pPr>
                  <w:r w:rsidRPr="00A6111C">
                    <w:rPr>
                      <w:rFonts w:cs="Calibri"/>
                      <w:color w:val="000000"/>
                    </w:rPr>
                    <w:t xml:space="preserve">Donošenje posebnog Zakona o pravnim osobama u vlasništvu </w:t>
                  </w:r>
                  <w:r>
                    <w:rPr>
                      <w:rFonts w:cstheme="minorHAnsi"/>
                    </w:rPr>
                    <w:t>Republike Hrvatske</w:t>
                  </w:r>
                  <w:r w:rsidRPr="00A6111C">
                    <w:rPr>
                      <w:rFonts w:cs="Calibri"/>
                      <w:color w:val="000000"/>
                    </w:rPr>
                    <w:t xml:space="preserve"> i uspostava središnje koordinacijske jedinice za provođenje vlasničke politike u odnosu na pravne osobe u vlasništvu </w:t>
                  </w:r>
                  <w:r>
                    <w:rPr>
                      <w:rFonts w:cstheme="minorHAnsi"/>
                    </w:rPr>
                    <w:t>Republike Hrvatske</w:t>
                  </w:r>
                  <w:r w:rsidRPr="00A6111C">
                    <w:rPr>
                      <w:rFonts w:cs="Calibri"/>
                      <w:color w:val="000000"/>
                    </w:rPr>
                    <w:t xml:space="preserve">, ali i usvojen dokument o vlasničkoj politici </w:t>
                  </w:r>
                  <w:r w:rsidRPr="00A6111C">
                    <w:t xml:space="preserve">definirani su, između ostalih, kao kvalitativni pokazatelji podkomponente </w:t>
                  </w:r>
                  <w:r w:rsidRPr="002E25E6">
                    <w:rPr>
                      <w:i/>
                      <w:iCs/>
                    </w:rPr>
                    <w:t>Unapr</w:t>
                  </w:r>
                  <w:r>
                    <w:rPr>
                      <w:i/>
                      <w:iCs/>
                    </w:rPr>
                    <w:t>j</w:t>
                  </w:r>
                  <w:r w:rsidRPr="002E25E6">
                    <w:rPr>
                      <w:i/>
                      <w:iCs/>
                    </w:rPr>
                    <w:t>eđenje upravljanja državnom imovinom.</w:t>
                  </w:r>
                </w:p>
                <w:p w14:paraId="65C6B31C" w14:textId="77777777" w:rsidR="00A808CC" w:rsidRPr="00A6111C" w:rsidRDefault="00A808CC" w:rsidP="006E4904">
                  <w:pPr>
                    <w:spacing w:after="0" w:line="288" w:lineRule="auto"/>
                    <w:ind w:left="-68"/>
                    <w:jc w:val="both"/>
                  </w:pPr>
                </w:p>
                <w:p w14:paraId="12D232B5" w14:textId="77777777" w:rsidR="00A808CC" w:rsidRPr="00A6111C" w:rsidRDefault="00A808CC" w:rsidP="006E4904">
                  <w:pPr>
                    <w:pStyle w:val="Naslov1"/>
                    <w:spacing w:line="288" w:lineRule="auto"/>
                    <w:rPr>
                      <w:rFonts w:asciiTheme="minorHAnsi" w:hAnsiTheme="minorHAnsi" w:cs="Times New Roman"/>
                    </w:rPr>
                  </w:pPr>
                  <w:bookmarkStart w:id="5" w:name="_Toc78527731"/>
                  <w:r w:rsidRPr="00A6111C">
                    <w:rPr>
                      <w:rFonts w:asciiTheme="minorHAnsi" w:hAnsiTheme="minorHAnsi" w:cs="Times New Roman"/>
                    </w:rPr>
                    <w:t>ZAKLJUČCI I PREPORUKE OECD-</w:t>
                  </w:r>
                  <w:r>
                    <w:rPr>
                      <w:rFonts w:asciiTheme="minorHAnsi" w:hAnsiTheme="minorHAnsi" w:cs="Times New Roman"/>
                    </w:rPr>
                    <w:t>a</w:t>
                  </w:r>
                  <w:bookmarkEnd w:id="5"/>
                </w:p>
                <w:p w14:paraId="24F0150F" w14:textId="77777777" w:rsidR="00A808CC" w:rsidRPr="00A6111C" w:rsidRDefault="00A808CC" w:rsidP="006E4904">
                  <w:pPr>
                    <w:spacing w:beforeLines="40" w:before="96" w:afterLines="40" w:after="96" w:line="276" w:lineRule="auto"/>
                    <w:jc w:val="both"/>
                  </w:pPr>
                  <w:r w:rsidRPr="00A6111C">
                    <w:t xml:space="preserve">Review OECD-a identificira 11 preporuka ili prioritetnih područja za reformu koje bi trebale pridonijeti poboljšanju prakse korporativnog upravljanja u pravnim osobama u vlasništvu države u Republici Hrvatskoj. </w:t>
                  </w:r>
                </w:p>
                <w:p w14:paraId="2964A8FB" w14:textId="77777777" w:rsidR="00A808CC" w:rsidRPr="00A6111C" w:rsidRDefault="00A808CC" w:rsidP="006E4904">
                  <w:pPr>
                    <w:spacing w:line="276" w:lineRule="auto"/>
                    <w:jc w:val="both"/>
                  </w:pPr>
                  <w:r w:rsidRPr="00A6111C">
                    <w:t>Preporuke obuhvaćaju:</w:t>
                  </w:r>
                </w:p>
                <w:p w14:paraId="15B3786F" w14:textId="77777777" w:rsidR="00A808CC" w:rsidRPr="00A6111C" w:rsidRDefault="00A808CC" w:rsidP="00A808CC">
                  <w:pPr>
                    <w:pStyle w:val="Odlomakpopisa"/>
                    <w:numPr>
                      <w:ilvl w:val="0"/>
                      <w:numId w:val="4"/>
                    </w:numPr>
                    <w:spacing w:line="276" w:lineRule="auto"/>
                    <w:jc w:val="both"/>
                  </w:pPr>
                  <w:r w:rsidRPr="00A6111C">
                    <w:t xml:space="preserve">Jačanje funkcije državnog vlasništva </w:t>
                  </w:r>
                </w:p>
                <w:p w14:paraId="211FE63C" w14:textId="77777777" w:rsidR="00A808CC" w:rsidRPr="00A6111C" w:rsidRDefault="00A808CC" w:rsidP="006E4904">
                  <w:pPr>
                    <w:pStyle w:val="Odlomakpopisa"/>
                    <w:spacing w:line="276" w:lineRule="auto"/>
                    <w:jc w:val="both"/>
                  </w:pPr>
                </w:p>
                <w:p w14:paraId="5FD05034" w14:textId="77777777" w:rsidR="00A808CC" w:rsidRPr="00A6111C" w:rsidRDefault="00A808CC" w:rsidP="00A808CC">
                  <w:pPr>
                    <w:pStyle w:val="Odlomakpopisa"/>
                    <w:numPr>
                      <w:ilvl w:val="0"/>
                      <w:numId w:val="5"/>
                    </w:numPr>
                    <w:spacing w:line="276" w:lineRule="auto"/>
                    <w:ind w:left="641"/>
                    <w:jc w:val="both"/>
                  </w:pPr>
                  <w:r w:rsidRPr="00A6111C">
                    <w:t xml:space="preserve">osnivanje jedinice za koordinaciju vlasništva - tijelo za koordinaciju vlasništva odgovaralo bi Vladi Republike Hrvatske ili ministarstvu, pod uvjetom da nije zaduženo i za regulaciju sektora. Tijelu treba zakonski dodijeliti odgovarajuće ovlasti i resurse potrebne za učinkovito ispunjavanje uloge koordinatora, </w:t>
                  </w:r>
                </w:p>
                <w:p w14:paraId="55A1D4DF" w14:textId="77777777" w:rsidR="00A808CC" w:rsidRPr="00A6111C" w:rsidRDefault="00A808CC" w:rsidP="00A808CC">
                  <w:pPr>
                    <w:pStyle w:val="Odlomakpopisa"/>
                    <w:numPr>
                      <w:ilvl w:val="0"/>
                      <w:numId w:val="5"/>
                    </w:numPr>
                    <w:spacing w:line="276" w:lineRule="auto"/>
                    <w:ind w:left="641"/>
                    <w:jc w:val="both"/>
                  </w:pPr>
                  <w:r w:rsidRPr="00A6111C">
                    <w:t>izrada dokumenta vlasničke politike u kojoj će jasno biti predstavljeni razlozi i ciljevi za državno vlasništvo nad u pravnim osobama u vlasništvu države,</w:t>
                  </w:r>
                </w:p>
                <w:p w14:paraId="3C706420" w14:textId="77777777" w:rsidR="00A808CC" w:rsidRPr="00A6111C" w:rsidRDefault="00A808CC" w:rsidP="00A808CC">
                  <w:pPr>
                    <w:pStyle w:val="Odlomakpopisa"/>
                    <w:numPr>
                      <w:ilvl w:val="0"/>
                      <w:numId w:val="5"/>
                    </w:numPr>
                    <w:spacing w:line="276" w:lineRule="auto"/>
                    <w:ind w:left="641"/>
                    <w:jc w:val="both"/>
                  </w:pPr>
                  <w:r w:rsidRPr="00A6111C">
                    <w:lastRenderedPageBreak/>
                    <w:t xml:space="preserve">objava financijskih i nefinancijskih ciljeva poslovanja u pravnim osobama u vlasništvu države. Hrvatska nadležna tijela trebaju definirati jasne financijske i nefinancijske ciljeve poslovanja za sve pravne osobe u vlasništvu države. </w:t>
                  </w:r>
                </w:p>
                <w:p w14:paraId="3EBDF5CB" w14:textId="77777777" w:rsidR="00A808CC" w:rsidRPr="00A6111C" w:rsidRDefault="00A808CC" w:rsidP="006E4904">
                  <w:pPr>
                    <w:pStyle w:val="Odlomakpopisa"/>
                    <w:spacing w:line="276" w:lineRule="auto"/>
                    <w:ind w:left="641"/>
                    <w:jc w:val="both"/>
                  </w:pPr>
                </w:p>
                <w:p w14:paraId="188B423E" w14:textId="77777777" w:rsidR="00A808CC" w:rsidRPr="00A6111C" w:rsidRDefault="00A808CC" w:rsidP="00A808CC">
                  <w:pPr>
                    <w:pStyle w:val="Odlomakpopisa"/>
                    <w:numPr>
                      <w:ilvl w:val="0"/>
                      <w:numId w:val="4"/>
                    </w:numPr>
                    <w:spacing w:line="276" w:lineRule="auto"/>
                    <w:jc w:val="both"/>
                  </w:pPr>
                  <w:r w:rsidRPr="00A6111C">
                    <w:t>Usklađivanje pravnog i regulatornog okvira u pravnim osobama u vlasništvu države</w:t>
                  </w:r>
                </w:p>
                <w:p w14:paraId="317901AB" w14:textId="77777777" w:rsidR="00A808CC" w:rsidRPr="00A6111C" w:rsidRDefault="00A808CC" w:rsidP="006E4904">
                  <w:pPr>
                    <w:pStyle w:val="Odlomakpopisa"/>
                    <w:spacing w:line="276" w:lineRule="auto"/>
                    <w:jc w:val="both"/>
                  </w:pPr>
                </w:p>
                <w:p w14:paraId="0A41B8FE" w14:textId="28A61426" w:rsidR="00A808CC" w:rsidRPr="00A6111C" w:rsidRDefault="00A808CC" w:rsidP="00A808CC">
                  <w:pPr>
                    <w:pStyle w:val="Odlomakpopisa"/>
                    <w:numPr>
                      <w:ilvl w:val="0"/>
                      <w:numId w:val="5"/>
                    </w:numPr>
                    <w:spacing w:line="276" w:lineRule="auto"/>
                    <w:ind w:left="641"/>
                    <w:jc w:val="both"/>
                  </w:pPr>
                  <w:r w:rsidRPr="00A6111C">
                    <w:t>izrada novog sveobuhvatnog Zakona o pravnim osobama u vlasništvu države kako bi se smanjila ustanovljena fragmentarnost regulatornog okvira, definirali razlozi za vlasništvo, uloga i odgovornost svih dionika, izbor i imenovanje članova nadzornih odbora i dr.</w:t>
                  </w:r>
                  <w:r w:rsidR="00841EEF">
                    <w:rPr>
                      <w:rStyle w:val="Referencafusnote"/>
                    </w:rPr>
                    <w:footnoteReference w:id="1"/>
                  </w:r>
                </w:p>
                <w:p w14:paraId="1662A0C6" w14:textId="77777777" w:rsidR="00A808CC" w:rsidRPr="00A6111C" w:rsidRDefault="00A808CC" w:rsidP="006E4904">
                  <w:pPr>
                    <w:pStyle w:val="Odlomakpopisa"/>
                    <w:spacing w:line="276" w:lineRule="auto"/>
                    <w:ind w:left="641"/>
                    <w:jc w:val="both"/>
                  </w:pPr>
                </w:p>
                <w:p w14:paraId="60BE7DC1" w14:textId="77777777" w:rsidR="00A808CC" w:rsidRPr="00A6111C" w:rsidRDefault="00A808CC" w:rsidP="00A808CC">
                  <w:pPr>
                    <w:pStyle w:val="Odlomakpopisa"/>
                    <w:numPr>
                      <w:ilvl w:val="0"/>
                      <w:numId w:val="4"/>
                    </w:numPr>
                    <w:spacing w:line="276" w:lineRule="auto"/>
                    <w:jc w:val="both"/>
                  </w:pPr>
                  <w:r w:rsidRPr="00A6111C">
                    <w:t>Održavanje jednakih uvjeta poslovanja za pravne osobe u vlasništvu države kao za pravne osobe u privatnom vlasništvu</w:t>
                  </w:r>
                </w:p>
                <w:p w14:paraId="06EB4D4D" w14:textId="77777777" w:rsidR="00A808CC" w:rsidRPr="00A6111C" w:rsidRDefault="00A808CC" w:rsidP="006E4904">
                  <w:pPr>
                    <w:pStyle w:val="Odlomakpopisa"/>
                    <w:spacing w:line="276" w:lineRule="auto"/>
                    <w:jc w:val="both"/>
                  </w:pPr>
                </w:p>
                <w:p w14:paraId="0C0143F0" w14:textId="77777777" w:rsidR="00A808CC" w:rsidRPr="00A6111C" w:rsidRDefault="00A808CC" w:rsidP="00A808CC">
                  <w:pPr>
                    <w:pStyle w:val="Odlomakpopisa"/>
                    <w:numPr>
                      <w:ilvl w:val="0"/>
                      <w:numId w:val="5"/>
                    </w:numPr>
                    <w:spacing w:line="276" w:lineRule="auto"/>
                    <w:ind w:left="641"/>
                    <w:jc w:val="both"/>
                  </w:pPr>
                  <w:r w:rsidRPr="00A6111C">
                    <w:t>unifikacija pravnih oblika u pravnim osobama u vlasništvu države. Statutarne kompanije u vlasništvu države (osnovane posebnim zakonima) koja posluju na tržištu (odnosno, ne obavljaju funkciju javne politike ili administrativne funkcije) trebaju biti ustanovljena kao dionička društva.</w:t>
                  </w:r>
                </w:p>
                <w:p w14:paraId="2798142C" w14:textId="77777777" w:rsidR="00A808CC" w:rsidRPr="00A6111C" w:rsidRDefault="00A808CC" w:rsidP="006E4904">
                  <w:pPr>
                    <w:pStyle w:val="Odlomakpopisa"/>
                    <w:spacing w:line="276" w:lineRule="auto"/>
                    <w:ind w:left="641"/>
                    <w:jc w:val="both"/>
                  </w:pPr>
                </w:p>
                <w:p w14:paraId="104AA87D" w14:textId="77777777" w:rsidR="00A808CC" w:rsidRPr="00A6111C" w:rsidRDefault="00A808CC" w:rsidP="00A808CC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</w:pPr>
                  <w:r w:rsidRPr="00A6111C">
                    <w:t>Poboljšanje praksi transparentnosti i javne objave</w:t>
                  </w:r>
                </w:p>
                <w:p w14:paraId="1B2E8859" w14:textId="77777777" w:rsidR="00A808CC" w:rsidRPr="00A6111C" w:rsidRDefault="00A808CC" w:rsidP="006E4904">
                  <w:pPr>
                    <w:pStyle w:val="Odlomakpopisa"/>
                    <w:spacing w:line="276" w:lineRule="auto"/>
                    <w:jc w:val="both"/>
                  </w:pPr>
                </w:p>
                <w:p w14:paraId="63317600" w14:textId="77777777" w:rsidR="00A808CC" w:rsidRPr="00A6111C" w:rsidRDefault="00A808CC" w:rsidP="00A808CC">
                  <w:pPr>
                    <w:pStyle w:val="Odlomakpopisa"/>
                    <w:numPr>
                      <w:ilvl w:val="0"/>
                      <w:numId w:val="5"/>
                    </w:numPr>
                    <w:spacing w:line="276" w:lineRule="auto"/>
                    <w:ind w:left="641"/>
                    <w:jc w:val="both"/>
                  </w:pPr>
                  <w:r w:rsidRPr="00A6111C">
                    <w:t>povećanje opsega agregiranog izvješća na sve pravne osobe u vlasništvu države,</w:t>
                  </w:r>
                </w:p>
                <w:p w14:paraId="7B88DCA0" w14:textId="77777777" w:rsidR="00A808CC" w:rsidRPr="00A6111C" w:rsidRDefault="00A808CC" w:rsidP="00A808CC">
                  <w:pPr>
                    <w:pStyle w:val="Odlomakpopisa"/>
                    <w:numPr>
                      <w:ilvl w:val="0"/>
                      <w:numId w:val="5"/>
                    </w:numPr>
                    <w:spacing w:line="276" w:lineRule="auto"/>
                    <w:ind w:left="641"/>
                    <w:jc w:val="both"/>
                  </w:pPr>
                  <w:r w:rsidRPr="00A6111C">
                    <w:t>poboljšanje objavljivanja financijskih i nefinancijskih informacija, preporuka je da ove objave budu u standardima kakvi su propisani za društva koja kotiraju na uređenom tržištu kapitala.</w:t>
                  </w:r>
                </w:p>
                <w:p w14:paraId="4C84E547" w14:textId="77777777" w:rsidR="00A808CC" w:rsidRPr="00A6111C" w:rsidRDefault="00A808CC" w:rsidP="006E4904">
                  <w:pPr>
                    <w:pStyle w:val="Odlomakpopisa"/>
                    <w:spacing w:line="276" w:lineRule="auto"/>
                    <w:ind w:left="1440"/>
                    <w:jc w:val="both"/>
                  </w:pPr>
                </w:p>
                <w:p w14:paraId="215CB813" w14:textId="77777777" w:rsidR="00A808CC" w:rsidRPr="00A6111C" w:rsidRDefault="00A808CC" w:rsidP="00A808CC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</w:pPr>
                  <w:r w:rsidRPr="00A6111C">
                    <w:t>Jačanje sustava unutarnje kontrole</w:t>
                  </w:r>
                </w:p>
                <w:p w14:paraId="7D0E7E3A" w14:textId="77777777" w:rsidR="00A808CC" w:rsidRPr="00A6111C" w:rsidRDefault="00A808CC" w:rsidP="006E4904">
                  <w:pPr>
                    <w:pStyle w:val="Odlomakpopisa"/>
                    <w:spacing w:after="0" w:line="276" w:lineRule="auto"/>
                    <w:jc w:val="both"/>
                  </w:pPr>
                </w:p>
                <w:p w14:paraId="300D624B" w14:textId="7C8687CB" w:rsidR="00A808CC" w:rsidRPr="00A6111C" w:rsidRDefault="00A808CC" w:rsidP="00A808CC">
                  <w:pPr>
                    <w:pStyle w:val="Odlomakpopisa"/>
                    <w:numPr>
                      <w:ilvl w:val="0"/>
                      <w:numId w:val="5"/>
                    </w:numPr>
                    <w:spacing w:line="276" w:lineRule="auto"/>
                    <w:ind w:left="641"/>
                    <w:jc w:val="both"/>
                  </w:pPr>
                  <w:r w:rsidRPr="00A6111C">
                    <w:t>poboljšati sustav unutarnjih kontrola kroz bolji rad i veću neovisnost unutarnje revizije, njenu direktnu suradnju s revizijskim odborom, neovisnost rada eksterne revizije te državne revizije. Preporučuje se u ovom smislu, poboljšati politiku zaštite prijavitelja nepravilnosti (zviždača), procedure nabave itd.</w:t>
                  </w:r>
                </w:p>
                <w:p w14:paraId="0C80AE64" w14:textId="77777777" w:rsidR="00A808CC" w:rsidRPr="00A6111C" w:rsidRDefault="00A808CC" w:rsidP="006E4904">
                  <w:pPr>
                    <w:pStyle w:val="Odlomakpopisa"/>
                    <w:spacing w:line="276" w:lineRule="auto"/>
                    <w:ind w:left="1440"/>
                    <w:jc w:val="both"/>
                  </w:pPr>
                </w:p>
                <w:p w14:paraId="3FAEEF52" w14:textId="77777777" w:rsidR="00A808CC" w:rsidRPr="00A6111C" w:rsidRDefault="00A808CC" w:rsidP="00A808CC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</w:pPr>
                  <w:r w:rsidRPr="00A6111C">
                    <w:t xml:space="preserve">Jačanje autonomije i neovisnosti nadzornog odbora </w:t>
                  </w:r>
                </w:p>
                <w:p w14:paraId="351FF116" w14:textId="77777777" w:rsidR="00A808CC" w:rsidRPr="00A6111C" w:rsidRDefault="00A808CC" w:rsidP="006E4904">
                  <w:pPr>
                    <w:pStyle w:val="Odlomakpopisa"/>
                    <w:spacing w:after="0" w:line="276" w:lineRule="auto"/>
                    <w:jc w:val="both"/>
                  </w:pPr>
                </w:p>
                <w:p w14:paraId="257099BB" w14:textId="720FF51E" w:rsidR="00A808CC" w:rsidRPr="00A6111C" w:rsidRDefault="00A808CC" w:rsidP="00A808CC">
                  <w:pPr>
                    <w:pStyle w:val="Odlomakpopisa"/>
                    <w:numPr>
                      <w:ilvl w:val="0"/>
                      <w:numId w:val="5"/>
                    </w:numPr>
                    <w:spacing w:line="276" w:lineRule="auto"/>
                    <w:ind w:left="641"/>
                    <w:jc w:val="both"/>
                  </w:pPr>
                  <w:r w:rsidRPr="00A6111C">
                    <w:t>Uspostava stručnih i neovisnih nadzornih odbora kao i jasnih kriterija za definiranje istih. Transparentna i kompetitivna procedura izbora članova nadzornih odbora</w:t>
                  </w:r>
                  <w:r w:rsidR="00CC31FD">
                    <w:t>,</w:t>
                  </w:r>
                </w:p>
                <w:p w14:paraId="6BC6725F" w14:textId="5014609E" w:rsidR="00A808CC" w:rsidRPr="00A6111C" w:rsidRDefault="00A808CC" w:rsidP="00A808CC">
                  <w:pPr>
                    <w:pStyle w:val="Odlomakpopisa"/>
                    <w:numPr>
                      <w:ilvl w:val="0"/>
                      <w:numId w:val="5"/>
                    </w:numPr>
                    <w:spacing w:line="276" w:lineRule="auto"/>
                    <w:ind w:left="641"/>
                    <w:jc w:val="both"/>
                  </w:pPr>
                  <w:r w:rsidRPr="00A6111C">
                    <w:t>jačanje neovisnosti revizijskih pododbora</w:t>
                  </w:r>
                  <w:r w:rsidR="00CC31FD">
                    <w:t>,</w:t>
                  </w:r>
                </w:p>
                <w:p w14:paraId="371EA5BE" w14:textId="77777777" w:rsidR="00A808CC" w:rsidRPr="00A6111C" w:rsidRDefault="00A808CC" w:rsidP="00A808CC">
                  <w:pPr>
                    <w:pStyle w:val="Odlomakpopisa"/>
                    <w:numPr>
                      <w:ilvl w:val="0"/>
                      <w:numId w:val="5"/>
                    </w:numPr>
                    <w:spacing w:line="276" w:lineRule="auto"/>
                    <w:ind w:left="641"/>
                    <w:jc w:val="both"/>
                  </w:pPr>
                  <w:r w:rsidRPr="00A6111C">
                    <w:t>osnaživanje nadzornih odbora da izvršavaju funkcije određivanja strategije i nadzora upravljanja.</w:t>
                  </w:r>
                </w:p>
              </w:tc>
            </w:tr>
          </w:tbl>
          <w:p w14:paraId="19F5ECB9" w14:textId="18A13840" w:rsidR="00A808CC" w:rsidRDefault="00A808CC" w:rsidP="006E4904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  <w:p w14:paraId="7BF7AF29" w14:textId="6807B5C6" w:rsidR="00A636A2" w:rsidRDefault="00A636A2" w:rsidP="006E4904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  <w:p w14:paraId="0AD54CC4" w14:textId="77777777" w:rsidR="00A636A2" w:rsidRPr="00A6111C" w:rsidRDefault="00A636A2" w:rsidP="006E4904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  <w:p w14:paraId="0A873653" w14:textId="77777777" w:rsidR="00A808CC" w:rsidRPr="00A6111C" w:rsidRDefault="00A808CC" w:rsidP="006E4904">
            <w:pPr>
              <w:pStyle w:val="Naslov1"/>
              <w:spacing w:line="288" w:lineRule="auto"/>
              <w:outlineLvl w:val="0"/>
              <w:rPr>
                <w:rFonts w:asciiTheme="minorHAnsi" w:hAnsiTheme="minorHAnsi" w:cs="Times New Roman"/>
              </w:rPr>
            </w:pPr>
            <w:bookmarkStart w:id="6" w:name="_Toc78527732"/>
            <w:r w:rsidRPr="00A6111C">
              <w:rPr>
                <w:rFonts w:asciiTheme="minorHAnsi" w:hAnsiTheme="minorHAnsi" w:cs="Times New Roman"/>
              </w:rPr>
              <w:t>AKTIVNOSTI</w:t>
            </w:r>
            <w:bookmarkEnd w:id="6"/>
          </w:p>
          <w:p w14:paraId="003BBBB7" w14:textId="77777777" w:rsidR="00A808CC" w:rsidRPr="00A6111C" w:rsidRDefault="00A808CC" w:rsidP="006E4904"/>
          <w:p w14:paraId="3717C3ED" w14:textId="17671A97" w:rsidR="00A808CC" w:rsidRPr="00A6111C" w:rsidRDefault="00A808CC" w:rsidP="006E4904">
            <w:pPr>
              <w:spacing w:line="288" w:lineRule="auto"/>
              <w:jc w:val="both"/>
              <w:rPr>
                <w:rFonts w:cs="Times New Roman"/>
              </w:rPr>
            </w:pPr>
            <w:r w:rsidRPr="00A6111C">
              <w:rPr>
                <w:rFonts w:cstheme="minorHAnsi"/>
              </w:rPr>
              <w:t xml:space="preserve">Daljnje aktivnosti koje se odnose na implementaciju sveobuhvatne reforme u području korporativnog upravljanja u pravnim osobama u vlasništvu </w:t>
            </w:r>
            <w:r>
              <w:rPr>
                <w:rFonts w:cstheme="minorHAnsi"/>
              </w:rPr>
              <w:t>Republike Hrvatske</w:t>
            </w:r>
            <w:r w:rsidRPr="00A6111C">
              <w:rPr>
                <w:rFonts w:cstheme="minorHAnsi"/>
              </w:rPr>
              <w:t xml:space="preserve"> iziskivati će suradnju niza tijela državne uprave s obzirom na fragmentiranost i nadležnost</w:t>
            </w:r>
            <w:r w:rsidRPr="00A6111C">
              <w:rPr>
                <w:rFonts w:cs="Times New Roman"/>
              </w:rPr>
              <w:t xml:space="preserve"> vlasničkih ovlasti nad pravnim osobama</w:t>
            </w:r>
            <w:r>
              <w:rPr>
                <w:rFonts w:cs="Times New Roman"/>
              </w:rPr>
              <w:t>.</w:t>
            </w:r>
          </w:p>
          <w:p w14:paraId="34FE55F3" w14:textId="36FFC221" w:rsidR="00A808CC" w:rsidRPr="00A6111C" w:rsidRDefault="00A808CC" w:rsidP="00B77483">
            <w:pPr>
              <w:spacing w:line="288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6111C">
              <w:rPr>
                <w:rFonts w:cstheme="minorHAnsi"/>
              </w:rPr>
              <w:t xml:space="preserve">Pravovremena implementacija danih preporuka OECD-a doprinijeti će jačanju pretpostavki za sustavno, koordinirano i dugoročno održivo korporativno upravljanje u pravnim osobama u vlasništvu </w:t>
            </w:r>
            <w:r>
              <w:rPr>
                <w:rFonts w:cstheme="minorHAnsi"/>
              </w:rPr>
              <w:t>Republike Hrvatske</w:t>
            </w:r>
            <w:r w:rsidRPr="00A6111C">
              <w:rPr>
                <w:rFonts w:cstheme="minorHAnsi"/>
              </w:rPr>
              <w:t>, ali i ispunjenju obveza Republike Hrvatske u okviru Akcijskog plana za sudjelovanje u Exchange Rate mehanizmu II (ERM II)  kao i Nacionalnog plana oporavka i otpornosti 2021. – 2026., a osigurati će se provedbom aktivnosti</w:t>
            </w:r>
            <w:r w:rsidR="004928EF">
              <w:rPr>
                <w:rFonts w:cstheme="minorHAnsi"/>
              </w:rPr>
              <w:t xml:space="preserve"> kao u slijedećoj tablici</w:t>
            </w:r>
            <w:r w:rsidRPr="00A6111C">
              <w:rPr>
                <w:rFonts w:cstheme="minorHAnsi"/>
              </w:rPr>
              <w:t xml:space="preserve">: </w:t>
            </w:r>
          </w:p>
        </w:tc>
        <w:tc>
          <w:tcPr>
            <w:tcW w:w="236" w:type="dxa"/>
            <w:tcBorders>
              <w:left w:val="single" w:sz="8" w:space="0" w:color="C00000"/>
            </w:tcBorders>
          </w:tcPr>
          <w:p w14:paraId="1C34221F" w14:textId="77777777" w:rsidR="00A808CC" w:rsidRPr="00A6111C" w:rsidRDefault="00A808CC" w:rsidP="006E4904">
            <w:pPr>
              <w:spacing w:line="288" w:lineRule="auto"/>
              <w:ind w:right="26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34A4872E" w14:textId="3DB1F8D0" w:rsidR="00A636A2" w:rsidRDefault="00A636A2"/>
    <w:p w14:paraId="6FA311B6" w14:textId="77777777" w:rsidR="00A636A2" w:rsidRDefault="00A636A2">
      <w:pPr>
        <w:spacing w:after="0" w:line="240" w:lineRule="auto"/>
      </w:pPr>
      <w:r>
        <w:br w:type="page"/>
      </w:r>
    </w:p>
    <w:p w14:paraId="32E95D6D" w14:textId="657C4C21" w:rsidR="001254B5" w:rsidRDefault="001C3D4F" w:rsidP="00876CC5">
      <w:pPr>
        <w:spacing w:after="0" w:line="240" w:lineRule="auto"/>
        <w:jc w:val="center"/>
      </w:pPr>
      <w:r w:rsidRPr="001C3D4F">
        <w:rPr>
          <w:noProof/>
          <w:lang w:eastAsia="hr-HR"/>
        </w:rPr>
        <w:lastRenderedPageBreak/>
        <w:drawing>
          <wp:inline distT="0" distB="0" distL="0" distR="0" wp14:anchorId="3A293BCF" wp14:editId="490FC3D7">
            <wp:extent cx="6407091" cy="79513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029" cy="795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FBF3E" w14:textId="2398B5D2" w:rsidR="00307430" w:rsidRDefault="00307430" w:rsidP="00A636A2">
      <w:pPr>
        <w:spacing w:after="0" w:line="240" w:lineRule="auto"/>
      </w:pPr>
    </w:p>
    <w:p w14:paraId="34840D36" w14:textId="6E85503E" w:rsidR="00307430" w:rsidRDefault="00974A82" w:rsidP="00A636A2">
      <w:pPr>
        <w:spacing w:after="0" w:line="240" w:lineRule="auto"/>
      </w:pPr>
      <w:r w:rsidRPr="00974A82">
        <w:rPr>
          <w:noProof/>
          <w:lang w:eastAsia="hr-HR"/>
        </w:rPr>
        <w:lastRenderedPageBreak/>
        <w:drawing>
          <wp:inline distT="0" distB="0" distL="0" distR="0" wp14:anchorId="5FD74B17" wp14:editId="4E2A177C">
            <wp:extent cx="6468211" cy="2495550"/>
            <wp:effectExtent l="0" t="0" r="889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612" cy="249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7430" w:rsidSect="00193A41">
      <w:pgSz w:w="12240" w:h="15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4266" w14:textId="77777777" w:rsidR="006326B0" w:rsidRDefault="006326B0">
      <w:pPr>
        <w:spacing w:after="0" w:line="240" w:lineRule="auto"/>
      </w:pPr>
      <w:r>
        <w:separator/>
      </w:r>
    </w:p>
  </w:endnote>
  <w:endnote w:type="continuationSeparator" w:id="0">
    <w:p w14:paraId="0A482252" w14:textId="77777777" w:rsidR="006326B0" w:rsidRDefault="0063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669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0F8EB" w14:textId="6E454F80" w:rsidR="00193A41" w:rsidRDefault="00193A4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8917300" w14:textId="77777777" w:rsidR="005C4E83" w:rsidRDefault="006326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D1BFA" w14:textId="77777777" w:rsidR="006326B0" w:rsidRDefault="006326B0">
      <w:pPr>
        <w:spacing w:after="0" w:line="240" w:lineRule="auto"/>
      </w:pPr>
      <w:r>
        <w:separator/>
      </w:r>
    </w:p>
  </w:footnote>
  <w:footnote w:type="continuationSeparator" w:id="0">
    <w:p w14:paraId="456B94B9" w14:textId="77777777" w:rsidR="006326B0" w:rsidRDefault="006326B0">
      <w:pPr>
        <w:spacing w:after="0" w:line="240" w:lineRule="auto"/>
      </w:pPr>
      <w:r>
        <w:continuationSeparator/>
      </w:r>
    </w:p>
  </w:footnote>
  <w:footnote w:id="1">
    <w:p w14:paraId="065FB100" w14:textId="36478A25" w:rsidR="00841EEF" w:rsidRDefault="00841EEF">
      <w:pPr>
        <w:pStyle w:val="Tekstfusnote"/>
      </w:pPr>
      <w:r>
        <w:rPr>
          <w:rStyle w:val="Referencafusnote"/>
        </w:rPr>
        <w:footnoteRef/>
      </w:r>
      <w:r>
        <w:t xml:space="preserve"> Obuhvat pravnih osoba u vlasništvu RH će biti definiran samim Zakonom kao i njegov konačan naziv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055E4"/>
    <w:multiLevelType w:val="hybridMultilevel"/>
    <w:tmpl w:val="A0AC4ED8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30D6907"/>
    <w:multiLevelType w:val="multilevel"/>
    <w:tmpl w:val="C0925324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F8B2FE9"/>
    <w:multiLevelType w:val="hybridMultilevel"/>
    <w:tmpl w:val="5812413A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0F7F3A"/>
    <w:multiLevelType w:val="hybridMultilevel"/>
    <w:tmpl w:val="99E0C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14A8A"/>
    <w:multiLevelType w:val="hybridMultilevel"/>
    <w:tmpl w:val="B3345302"/>
    <w:lvl w:ilvl="0" w:tplc="047A09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CC"/>
    <w:rsid w:val="000A67E2"/>
    <w:rsid w:val="00106F46"/>
    <w:rsid w:val="001254B5"/>
    <w:rsid w:val="00143915"/>
    <w:rsid w:val="00193A41"/>
    <w:rsid w:val="001A005B"/>
    <w:rsid w:val="001C3D4F"/>
    <w:rsid w:val="001C4120"/>
    <w:rsid w:val="001C57E9"/>
    <w:rsid w:val="001E15E5"/>
    <w:rsid w:val="00210454"/>
    <w:rsid w:val="00241287"/>
    <w:rsid w:val="00272EC5"/>
    <w:rsid w:val="002D2F9E"/>
    <w:rsid w:val="00307430"/>
    <w:rsid w:val="00354EF2"/>
    <w:rsid w:val="00363DBC"/>
    <w:rsid w:val="003C15D5"/>
    <w:rsid w:val="003E3322"/>
    <w:rsid w:val="00412420"/>
    <w:rsid w:val="004928EF"/>
    <w:rsid w:val="004A4425"/>
    <w:rsid w:val="004E271E"/>
    <w:rsid w:val="004E61B4"/>
    <w:rsid w:val="004F5AE3"/>
    <w:rsid w:val="0053425E"/>
    <w:rsid w:val="006326B0"/>
    <w:rsid w:val="006F6F55"/>
    <w:rsid w:val="007C0DF0"/>
    <w:rsid w:val="00841EEF"/>
    <w:rsid w:val="00876CC5"/>
    <w:rsid w:val="008F1938"/>
    <w:rsid w:val="00942628"/>
    <w:rsid w:val="009629B0"/>
    <w:rsid w:val="00974A82"/>
    <w:rsid w:val="00976109"/>
    <w:rsid w:val="00A109A3"/>
    <w:rsid w:val="00A636A2"/>
    <w:rsid w:val="00A808CC"/>
    <w:rsid w:val="00B14D5D"/>
    <w:rsid w:val="00B77483"/>
    <w:rsid w:val="00CC31FD"/>
    <w:rsid w:val="00E169A7"/>
    <w:rsid w:val="00E2461B"/>
    <w:rsid w:val="00E51E71"/>
    <w:rsid w:val="00EF7DDB"/>
    <w:rsid w:val="00FB30A3"/>
    <w:rsid w:val="00FB72AA"/>
    <w:rsid w:val="00FC417C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D14EB"/>
  <w15:chartTrackingRefBased/>
  <w15:docId w15:val="{ED778372-32AE-49B9-9BDD-9F692FFA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8CC"/>
    <w:pPr>
      <w:spacing w:after="160" w:line="259" w:lineRule="auto"/>
    </w:pPr>
    <w:rPr>
      <w:rFonts w:asciiTheme="minorHAnsi" w:hAnsiTheme="minorHAnsi"/>
      <w:sz w:val="22"/>
      <w:szCs w:val="22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808CC"/>
    <w:pPr>
      <w:keepNext/>
      <w:keepLines/>
      <w:numPr>
        <w:numId w:val="1"/>
      </w:numPr>
      <w:spacing w:before="240" w:after="0" w:line="240" w:lineRule="auto"/>
      <w:ind w:right="90"/>
      <w:outlineLvl w:val="0"/>
    </w:pPr>
    <w:rPr>
      <w:rFonts w:ascii="Arial" w:eastAsiaTheme="majorEastAsia" w:hAnsi="Arial" w:cs="Arial"/>
      <w:color w:val="C00000"/>
      <w:sz w:val="32"/>
      <w:szCs w:val="32"/>
    </w:rPr>
  </w:style>
  <w:style w:type="paragraph" w:styleId="Naslov2">
    <w:name w:val="heading 2"/>
    <w:basedOn w:val="Naslov1"/>
    <w:next w:val="Normal"/>
    <w:link w:val="Naslov2Char"/>
    <w:uiPriority w:val="9"/>
    <w:unhideWhenUsed/>
    <w:qFormat/>
    <w:rsid w:val="00A808CC"/>
    <w:pPr>
      <w:numPr>
        <w:ilvl w:val="1"/>
      </w:numPr>
      <w:ind w:right="91"/>
      <w:outlineLvl w:val="1"/>
    </w:pPr>
    <w:rPr>
      <w:b/>
      <w:sz w:val="24"/>
    </w:rPr>
  </w:style>
  <w:style w:type="paragraph" w:styleId="Naslov3">
    <w:name w:val="heading 3"/>
    <w:basedOn w:val="Naslov2"/>
    <w:next w:val="Normal"/>
    <w:link w:val="Naslov3Char"/>
    <w:uiPriority w:val="9"/>
    <w:unhideWhenUsed/>
    <w:qFormat/>
    <w:rsid w:val="00A808CC"/>
    <w:pPr>
      <w:numPr>
        <w:ilvl w:val="2"/>
      </w:numPr>
      <w:outlineLvl w:val="2"/>
    </w:pPr>
    <w:rPr>
      <w:b w:val="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08C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08C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08C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08C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08C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08C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08CC"/>
    <w:rPr>
      <w:rFonts w:ascii="Arial" w:eastAsiaTheme="majorEastAsia" w:hAnsi="Arial" w:cs="Arial"/>
      <w:color w:val="C00000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A808CC"/>
    <w:rPr>
      <w:rFonts w:ascii="Arial" w:eastAsiaTheme="majorEastAsia" w:hAnsi="Arial" w:cs="Arial"/>
      <w:b/>
      <w:color w:val="C00000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A808CC"/>
    <w:rPr>
      <w:rFonts w:ascii="Arial" w:eastAsiaTheme="majorEastAsia" w:hAnsi="Arial" w:cs="Arial"/>
      <w:color w:val="C00000"/>
      <w:szCs w:val="32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08C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08CC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08CC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08C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08C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08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paragraph" w:styleId="Odlomakpopisa">
    <w:name w:val="List Paragraph"/>
    <w:basedOn w:val="Normal"/>
    <w:uiPriority w:val="34"/>
    <w:qFormat/>
    <w:rsid w:val="00A808CC"/>
    <w:pPr>
      <w:ind w:left="720"/>
      <w:contextualSpacing/>
    </w:pPr>
  </w:style>
  <w:style w:type="table" w:styleId="Reetkatablice">
    <w:name w:val="Table Grid"/>
    <w:basedOn w:val="Obinatablica"/>
    <w:rsid w:val="00A808CC"/>
    <w:rPr>
      <w:rFonts w:asciiTheme="minorHAnsi" w:hAnsi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80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08CC"/>
    <w:rPr>
      <w:rFonts w:asciiTheme="minorHAnsi" w:hAnsiTheme="minorHAnsi"/>
      <w:sz w:val="22"/>
      <w:szCs w:val="22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80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08CC"/>
    <w:rPr>
      <w:rFonts w:asciiTheme="minorHAnsi" w:hAnsiTheme="minorHAnsi"/>
      <w:sz w:val="22"/>
      <w:szCs w:val="22"/>
      <w:lang w:val="hr-HR"/>
    </w:rPr>
  </w:style>
  <w:style w:type="paragraph" w:styleId="TOCNaslov">
    <w:name w:val="TOC Heading"/>
    <w:basedOn w:val="Naslov1"/>
    <w:next w:val="Normal"/>
    <w:uiPriority w:val="39"/>
    <w:unhideWhenUsed/>
    <w:qFormat/>
    <w:rsid w:val="00A808CC"/>
    <w:pPr>
      <w:numPr>
        <w:numId w:val="0"/>
      </w:numPr>
      <w:spacing w:line="259" w:lineRule="auto"/>
      <w:ind w:right="0"/>
      <w:outlineLvl w:val="9"/>
    </w:pPr>
    <w:rPr>
      <w:rFonts w:asciiTheme="majorHAnsi" w:hAnsiTheme="majorHAnsi" w:cstheme="majorBidi"/>
      <w:color w:val="2E74B5" w:themeColor="accent1" w:themeShade="BF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A808CC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A808CC"/>
    <w:pPr>
      <w:tabs>
        <w:tab w:val="left" w:pos="880"/>
        <w:tab w:val="right" w:leader="dot" w:pos="9628"/>
      </w:tabs>
      <w:spacing w:after="100"/>
      <w:ind w:left="851" w:right="566" w:hanging="425"/>
    </w:pPr>
  </w:style>
  <w:style w:type="character" w:styleId="Hiperveza">
    <w:name w:val="Hyperlink"/>
    <w:basedOn w:val="Zadanifontodlomka"/>
    <w:uiPriority w:val="99"/>
    <w:unhideWhenUsed/>
    <w:rsid w:val="00A808CC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A808CC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41EE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41EEF"/>
    <w:rPr>
      <w:rFonts w:asciiTheme="minorHAnsi" w:hAnsiTheme="minorHAnsi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841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ecd.org/corporate/soe-review-croatia.htm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ecd.org/corporate/Conclusions-and-recommendations-SOE-Review-of-Croatia-H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AZJMDCZ6QSYZ-1849078857-10149</_dlc_DocId>
    <_dlc_DocIdUrl xmlns="a494813a-d0d8-4dad-94cb-0d196f36ba15">
      <Url>https://ekoordinacije.vlada.hr/koordinacija-gospodarstvo/_layouts/15/DocIdRedir.aspx?ID=AZJMDCZ6QSYZ-1849078857-10149</Url>
      <Description>AZJMDCZ6QSYZ-1849078857-10149</Description>
    </_dlc_DocIdUrl>
  </documentManagement>
</p:properties>
</file>

<file path=customXml/itemProps1.xml><?xml version="1.0" encoding="utf-8"?>
<ds:datastoreItem xmlns:ds="http://schemas.openxmlformats.org/officeDocument/2006/customXml" ds:itemID="{9846BE77-C619-44B4-957C-9DD9617567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33D0D-AFD6-4EDF-B183-648E130DC951}"/>
</file>

<file path=customXml/itemProps3.xml><?xml version="1.0" encoding="utf-8"?>
<ds:datastoreItem xmlns:ds="http://schemas.openxmlformats.org/officeDocument/2006/customXml" ds:itemID="{A9B6BE93-9DB3-43DD-B8C6-FA94B0F900F0}"/>
</file>

<file path=customXml/itemProps4.xml><?xml version="1.0" encoding="utf-8"?>
<ds:datastoreItem xmlns:ds="http://schemas.openxmlformats.org/officeDocument/2006/customXml" ds:itemID="{B2AECCF0-3A5F-4C55-B70C-8C735C212152}"/>
</file>

<file path=customXml/itemProps5.xml><?xml version="1.0" encoding="utf-8"?>
<ds:datastoreItem xmlns:ds="http://schemas.openxmlformats.org/officeDocument/2006/customXml" ds:itemID="{D8AB0B42-EC83-489B-97C9-FDC4D9C7CE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2125</Words>
  <Characters>12113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Ramljak</dc:creator>
  <cp:keywords/>
  <dc:description/>
  <cp:lastModifiedBy>Ivo Ramljak</cp:lastModifiedBy>
  <cp:revision>9</cp:revision>
  <cp:lastPrinted>2021-09-21T07:19:00Z</cp:lastPrinted>
  <dcterms:created xsi:type="dcterms:W3CDTF">2021-09-22T07:11:00Z</dcterms:created>
  <dcterms:modified xsi:type="dcterms:W3CDTF">2021-09-22T08:04:00Z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381138f9-5604-4e97-bbca-99e6111ec784</vt:lpwstr>
  </property>
</Properties>
</file>